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97EDDCB" w:rsidR="00EA2F2F" w:rsidRDefault="008F40CC">
      <w:pPr>
        <w:spacing w:after="0" w:line="240" w:lineRule="auto"/>
        <w:jc w:val="center"/>
        <w:rPr>
          <w:b/>
          <w:color w:val="365F91"/>
          <w:sz w:val="10"/>
          <w:szCs w:val="10"/>
        </w:rPr>
      </w:pPr>
      <w:bookmarkStart w:id="0" w:name="_Hlk153201749"/>
      <w:bookmarkEnd w:id="0"/>
      <w:r>
        <w:rPr>
          <w:b/>
          <w:color w:val="365F91"/>
          <w:sz w:val="10"/>
          <w:szCs w:val="10"/>
        </w:rPr>
        <w:t xml:space="preserve">      </w:t>
      </w: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33D9F0C7" w:rsidR="00F842EA" w:rsidRPr="00D27960" w:rsidRDefault="005E3165" w:rsidP="00F842EA">
      <w:pPr>
        <w:pBdr>
          <w:top w:val="nil"/>
          <w:left w:val="nil"/>
          <w:bottom w:val="nil"/>
          <w:right w:val="nil"/>
          <w:between w:val="nil"/>
        </w:pBdr>
        <w:spacing w:after="240"/>
        <w:jc w:val="center"/>
        <w:rPr>
          <w:b/>
          <w:color w:val="365F91"/>
          <w:sz w:val="40"/>
          <w:szCs w:val="40"/>
        </w:rPr>
      </w:pPr>
      <w:r w:rsidRPr="005E3165">
        <w:rPr>
          <w:b/>
          <w:color w:val="365F91"/>
          <w:sz w:val="40"/>
          <w:szCs w:val="40"/>
        </w:rPr>
        <w:t>Ceva Salud Animal activa el curso GRAM Antibiotraining y el Servicio de Asesoría para que el uso racional de antibióticos sea una realidad en la clínica</w:t>
      </w:r>
    </w:p>
    <w:p w14:paraId="4F4EB6C4" w14:textId="1B68C02D" w:rsidR="0015089E" w:rsidRPr="006944AB" w:rsidRDefault="00D04E46" w:rsidP="006944AB">
      <w:pPr>
        <w:pStyle w:val="Prrafodelista"/>
        <w:numPr>
          <w:ilvl w:val="0"/>
          <w:numId w:val="4"/>
        </w:numPr>
        <w:pBdr>
          <w:top w:val="nil"/>
          <w:left w:val="nil"/>
          <w:bottom w:val="nil"/>
          <w:right w:val="nil"/>
          <w:between w:val="nil"/>
        </w:pBdr>
        <w:spacing w:after="360" w:line="240" w:lineRule="auto"/>
        <w:rPr>
          <w:b/>
          <w:bCs/>
          <w:sz w:val="24"/>
          <w:szCs w:val="24"/>
        </w:rPr>
      </w:pPr>
      <w:r w:rsidRPr="00D04E46">
        <w:rPr>
          <w:b/>
          <w:bCs/>
          <w:sz w:val="24"/>
          <w:szCs w:val="24"/>
        </w:rPr>
        <w:t>Gracias al proyecto GRAM</w:t>
      </w:r>
      <w:r>
        <w:rPr>
          <w:b/>
          <w:bCs/>
          <w:sz w:val="24"/>
          <w:szCs w:val="24"/>
        </w:rPr>
        <w:t>,</w:t>
      </w:r>
      <w:r w:rsidRPr="00D04E46">
        <w:rPr>
          <w:b/>
          <w:bCs/>
          <w:sz w:val="24"/>
          <w:szCs w:val="24"/>
        </w:rPr>
        <w:t xml:space="preserve"> y a estas dos nuevas iniciativas, </w:t>
      </w:r>
      <w:r>
        <w:rPr>
          <w:b/>
          <w:bCs/>
          <w:sz w:val="24"/>
          <w:szCs w:val="24"/>
        </w:rPr>
        <w:t xml:space="preserve">la compañía ofrece </w:t>
      </w:r>
      <w:r w:rsidRPr="00D04E46">
        <w:rPr>
          <w:b/>
          <w:bCs/>
          <w:sz w:val="24"/>
          <w:szCs w:val="24"/>
        </w:rPr>
        <w:t xml:space="preserve">diferentes herramientas para profundizar y asentar las bases para </w:t>
      </w:r>
      <w:r w:rsidR="006A7FD2">
        <w:rPr>
          <w:b/>
          <w:bCs/>
          <w:sz w:val="24"/>
          <w:szCs w:val="24"/>
        </w:rPr>
        <w:t xml:space="preserve">ayudar a </w:t>
      </w:r>
      <w:r w:rsidRPr="00D04E46">
        <w:rPr>
          <w:b/>
          <w:bCs/>
          <w:sz w:val="24"/>
          <w:szCs w:val="24"/>
        </w:rPr>
        <w:t>frenar las resistencias antimicrobianas.</w:t>
      </w:r>
    </w:p>
    <w:p w14:paraId="542183E2" w14:textId="4BD064C9" w:rsidR="00314B0E" w:rsidRDefault="0076393A" w:rsidP="00314B0E">
      <w:pPr>
        <w:pStyle w:val="Texto"/>
      </w:pPr>
      <w:r w:rsidRPr="00F842EA">
        <w:rPr>
          <w:b/>
          <w:bCs/>
        </w:rPr>
        <w:t>Barcelona,</w:t>
      </w:r>
      <w:r w:rsidR="00A667A6">
        <w:rPr>
          <w:b/>
          <w:bCs/>
        </w:rPr>
        <w:t xml:space="preserve"> </w:t>
      </w:r>
      <w:r w:rsidR="00CE4918">
        <w:rPr>
          <w:b/>
          <w:bCs/>
        </w:rPr>
        <w:t>2</w:t>
      </w:r>
      <w:r w:rsidR="00596387">
        <w:rPr>
          <w:b/>
          <w:bCs/>
        </w:rPr>
        <w:t xml:space="preserve"> </w:t>
      </w:r>
      <w:r w:rsidR="006A4640" w:rsidRPr="00F842EA">
        <w:rPr>
          <w:b/>
          <w:bCs/>
        </w:rPr>
        <w:t xml:space="preserve">de </w:t>
      </w:r>
      <w:r w:rsidR="00CE4918">
        <w:rPr>
          <w:b/>
          <w:bCs/>
        </w:rPr>
        <w:t>abril</w:t>
      </w:r>
      <w:r w:rsidR="002E64C7">
        <w:rPr>
          <w:b/>
          <w:bCs/>
        </w:rPr>
        <w:t xml:space="preserve">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650CB8">
        <w:t xml:space="preserve">Ceva </w:t>
      </w:r>
      <w:r w:rsidR="00314B0E">
        <w:t>Salud Animal, dentro de su proyecto GRAM, lanza este 2024 su Servicio de Asesoría y GRAM Antibiotraining, un curso sobre cómo implementar el uso racional de antibióticos en la clínica diaria. Gracias al proyecto GRAM, y a estas dos nuevas iniciativas, la compañía ofrece diferentes herramientas para profundizar y asentar las bases para ayudar a frenar las resistencias antimicrobianas. Ahora, más que nunca, el uso racional de antibióticos debe ser, por fin, una realidad.</w:t>
      </w:r>
    </w:p>
    <w:p w14:paraId="24CD51CA" w14:textId="1C4D42E4" w:rsidR="00314B0E" w:rsidRDefault="00314B0E" w:rsidP="00314B0E">
      <w:pPr>
        <w:pStyle w:val="Texto"/>
      </w:pPr>
      <w:r>
        <w:t xml:space="preserve">Desde 2016, Ceva Salud Animal ha proporcionado a los veterinarios diferentes herramientas para ayudar a implementar el uso racional de los antimicrobianos como la guía GRAM, el primer consenso europeo que se realizó sobre antibioterapia en animales de compañía gracias a la colaboración de 10 expertos europeos independientes, el libro de citología, GRAM in </w:t>
      </w:r>
      <w:proofErr w:type="spellStart"/>
      <w:r>
        <w:t>your</w:t>
      </w:r>
      <w:proofErr w:type="spellEnd"/>
      <w:r>
        <w:t xml:space="preserve"> </w:t>
      </w:r>
      <w:proofErr w:type="spellStart"/>
      <w:r>
        <w:t>pocket</w:t>
      </w:r>
      <w:proofErr w:type="spellEnd"/>
      <w:r>
        <w:t>, el manual de interpretación de antibiogramas, el evento AST</w:t>
      </w:r>
      <w:r w:rsidR="002B02E5">
        <w:t>, entre otros.</w:t>
      </w:r>
    </w:p>
    <w:p w14:paraId="73C7804E" w14:textId="3A701089" w:rsidR="00314B0E" w:rsidRDefault="00314B0E" w:rsidP="00314B0E">
      <w:pPr>
        <w:pStyle w:val="Texto"/>
      </w:pPr>
      <w:r>
        <w:t xml:space="preserve">La compañía se enfrenta ahora al reto de preparar a los veterinarios para que el uso racional sea una realidad en la clínica de la mano del </w:t>
      </w:r>
      <w:r w:rsidR="002B02E5">
        <w:t xml:space="preserve">especialista </w:t>
      </w:r>
      <w:r>
        <w:t>Salvador Cervantes, acreditado en Medicina Felina por AVEPA y especialista destacado sobre el uso racional de antibióticos a nivel internacional y panelista GRAM.</w:t>
      </w:r>
    </w:p>
    <w:p w14:paraId="47922CF1" w14:textId="727FB9A5" w:rsidR="00314B0E" w:rsidRDefault="00314B0E" w:rsidP="00FA7906">
      <w:pPr>
        <w:pStyle w:val="Texto"/>
      </w:pPr>
      <w:r>
        <w:t>GRAM Antibiotraining es un curso sobre uso racional de antibióticos en animales de compañía que consiste en cuatro módulos que se realizarán a lo largo del 2024 y que incluye dos sesiones online en directo. Los módulos se irán abriendo de manera progresiva</w:t>
      </w:r>
      <w:r w:rsidR="00435557">
        <w:t xml:space="preserve"> a finales de marzo</w:t>
      </w:r>
      <w:r>
        <w:t>, mayo, septiembre y noviembre y se mantendrán</w:t>
      </w:r>
      <w:r w:rsidR="00435557">
        <w:t xml:space="preserve"> disponible</w:t>
      </w:r>
      <w:r>
        <w:t xml:space="preserve"> para que el curso se pueda realizar adaptándose al tiempo y las necesidades de cada uno. Además, cuenta con materiales descargables en cada módulo</w:t>
      </w:r>
      <w:r w:rsidRPr="0017057D">
        <w:t xml:space="preserve"> y</w:t>
      </w:r>
      <w:r w:rsidR="00FA7906">
        <w:t xml:space="preserve"> </w:t>
      </w:r>
      <w:r w:rsidR="00FA7906" w:rsidRPr="00FA7906">
        <w:t>un pequeño test de evaluación</w:t>
      </w:r>
      <w:r w:rsidR="00FA7906">
        <w:t>. U</w:t>
      </w:r>
      <w:r w:rsidR="00FA7906" w:rsidRPr="00FA7906">
        <w:t xml:space="preserve">na vez superados los </w:t>
      </w:r>
      <w:r w:rsidR="00FA7906">
        <w:t xml:space="preserve">cuatro </w:t>
      </w:r>
      <w:r w:rsidR="00FA7906" w:rsidRPr="00FA7906">
        <w:t>módulos</w:t>
      </w:r>
      <w:r>
        <w:t xml:space="preserve"> se podrá acceder a un diploma.</w:t>
      </w:r>
    </w:p>
    <w:p w14:paraId="4DD2F616" w14:textId="0B2023E8" w:rsidR="00314B0E" w:rsidRDefault="006F360B" w:rsidP="00314B0E">
      <w:pPr>
        <w:pStyle w:val="Texto"/>
      </w:pPr>
      <w:r>
        <w:rPr>
          <w:noProof/>
        </w:rPr>
        <w:drawing>
          <wp:anchor distT="0" distB="0" distL="114300" distR="114300" simplePos="0" relativeHeight="251660288" behindDoc="0" locked="0" layoutInCell="1" allowOverlap="1" wp14:anchorId="4FFDDB81" wp14:editId="051B4ADA">
            <wp:simplePos x="0" y="0"/>
            <wp:positionH relativeFrom="page">
              <wp:align>right</wp:align>
            </wp:positionH>
            <wp:positionV relativeFrom="paragraph">
              <wp:posOffset>10160</wp:posOffset>
            </wp:positionV>
            <wp:extent cx="1908000" cy="1908000"/>
            <wp:effectExtent l="0" t="0" r="0" b="0"/>
            <wp:wrapSquare wrapText="bothSides"/>
            <wp:docPr id="2045615207" name="Imagen 1"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615207" name="Imagen 1" descr="Código QR&#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000" cy="1908000"/>
                    </a:xfrm>
                    <a:prstGeom prst="rect">
                      <a:avLst/>
                    </a:prstGeom>
                  </pic:spPr>
                </pic:pic>
              </a:graphicData>
            </a:graphic>
            <wp14:sizeRelH relativeFrom="margin">
              <wp14:pctWidth>0</wp14:pctWidth>
            </wp14:sizeRelH>
            <wp14:sizeRelV relativeFrom="margin">
              <wp14:pctHeight>0</wp14:pctHeight>
            </wp14:sizeRelV>
          </wp:anchor>
        </w:drawing>
      </w:r>
      <w:r w:rsidR="00314B0E">
        <w:t xml:space="preserve">Los módulos serán sesiones pregrabadas que abordarán el uso empírico de antibióticos; cómo obtener el mejor resultado en microbiología clínica; cómo interpretar un antibiograma y seleccionar el antibiótico adecuado; y antibioterapia a la hora de manejar casos complejos. Aparte de los módulos habrá dos sesiones online en directo con el ponente para poder resolver dudas y preguntas los meses de junio y diciembre. Puedes acceder a este servicio a través del QR </w:t>
      </w:r>
      <w:r>
        <w:t>adjunto</w:t>
      </w:r>
      <w:r w:rsidR="00314B0E">
        <w:t>.</w:t>
      </w:r>
    </w:p>
    <w:p w14:paraId="31379058" w14:textId="0446D6AF" w:rsidR="00314B0E" w:rsidRDefault="00314B0E" w:rsidP="00314B0E">
      <w:pPr>
        <w:pStyle w:val="Texto"/>
      </w:pPr>
      <w:r>
        <w:t xml:space="preserve">Por otra parte, y para dar respuesta a cuestiones sobre la mejor elección de antibióticos o cómo manejar algunos casos complejos, Ceva Salud Animal ha </w:t>
      </w:r>
      <w:r>
        <w:lastRenderedPageBreak/>
        <w:t>desarrollado para sus clientes un servicio de consulta y asesoría sobre cómo escoger el antibiótico adecuado y cómo interpretar antibiogramas. El servicio está disponible en la pestaña Asesoría</w:t>
      </w:r>
      <w:r w:rsidR="00C14ADE">
        <w:t xml:space="preserve"> de su web</w:t>
      </w:r>
      <w:r>
        <w:t xml:space="preserve"> </w:t>
      </w:r>
      <w:hyperlink r:id="rId13" w:history="1">
        <w:r w:rsidR="003851CD" w:rsidRPr="009F079D">
          <w:rPr>
            <w:rStyle w:val="Hipervnculo"/>
            <w:i/>
            <w:iCs/>
          </w:rPr>
          <w:t>www.ceva-gram.com/es</w:t>
        </w:r>
      </w:hyperlink>
      <w:r w:rsidR="003851CD">
        <w:t xml:space="preserve">. </w:t>
      </w:r>
      <w:r>
        <w:t xml:space="preserve">Mediante un simple formulario se pueden enviar las dudas, comentar los casos clínicos e incluso adjuntar informes. Salvador Cervantes valorará toda la información y enviará una respuesta lo antes posible (máximo 48 horas) para ayudar a solventar el caso. </w:t>
      </w:r>
    </w:p>
    <w:p w14:paraId="5FC77D56" w14:textId="3BA95E74" w:rsidR="00650CB8" w:rsidRPr="00314B0E" w:rsidRDefault="00314B0E" w:rsidP="00314B0E">
      <w:pPr>
        <w:pStyle w:val="Texto"/>
        <w:rPr>
          <w:b/>
          <w:bCs/>
        </w:rPr>
      </w:pPr>
      <w:r w:rsidRPr="00314B0E">
        <w:rPr>
          <w:b/>
          <w:bCs/>
        </w:rPr>
        <w:t>Si estás interesado en estas nuevas iniciativas, contacta a tu delegado de Ceva Salud Animal.</w:t>
      </w:r>
    </w:p>
    <w:p w14:paraId="092AED87" w14:textId="7096F7E8" w:rsidR="00505BF9" w:rsidRPr="00CE4918" w:rsidRDefault="00CE4918" w:rsidP="00505BF9">
      <w:pPr>
        <w:widowControl/>
        <w:spacing w:after="0" w:line="240" w:lineRule="auto"/>
        <w:jc w:val="both"/>
        <w:rPr>
          <w:b/>
          <w:color w:val="595959"/>
          <w:sz w:val="18"/>
          <w:szCs w:val="18"/>
          <w:lang w:val="es-ES_tradnl"/>
        </w:rPr>
      </w:pPr>
      <w:r>
        <w:rPr>
          <w:b/>
          <w:noProof/>
          <w:color w:val="595959"/>
          <w:sz w:val="18"/>
          <w:szCs w:val="18"/>
          <w:lang w:val="es-ES_tradnl"/>
        </w:rPr>
        <w:drawing>
          <wp:inline distT="0" distB="0" distL="0" distR="0" wp14:anchorId="263ACA67" wp14:editId="4DE9C835">
            <wp:extent cx="4695825" cy="3284152"/>
            <wp:effectExtent l="0" t="0" r="0" b="0"/>
            <wp:docPr id="7544952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1139" cy="3287869"/>
                    </a:xfrm>
                    <a:prstGeom prst="rect">
                      <a:avLst/>
                    </a:prstGeom>
                    <a:noFill/>
                    <a:ln>
                      <a:noFill/>
                    </a:ln>
                  </pic:spPr>
                </pic:pic>
              </a:graphicData>
            </a:graphic>
          </wp:inline>
        </w:drawing>
      </w: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Con 6.500 empleados repartidos en 47 países, Ceva se esfuerza a diario por hacer realidad su visión como empresa </w:t>
      </w:r>
      <w:proofErr w:type="spellStart"/>
      <w:r w:rsidRPr="00EB54CE">
        <w:rPr>
          <w:bCs/>
          <w:color w:val="595959"/>
          <w:sz w:val="18"/>
          <w:szCs w:val="18"/>
        </w:rPr>
        <w:t>OneHealth</w:t>
      </w:r>
      <w:proofErr w:type="spellEnd"/>
      <w:r w:rsidRPr="00EB54CE">
        <w:rPr>
          <w:bCs/>
          <w:color w:val="595959"/>
          <w:sz w:val="18"/>
          <w:szCs w:val="18"/>
        </w:rPr>
        <w:t>: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5"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6"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7"/>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C07E" w14:textId="77777777" w:rsidR="00C963EA" w:rsidRDefault="00C963EA">
      <w:pPr>
        <w:spacing w:after="0" w:line="240" w:lineRule="auto"/>
      </w:pPr>
      <w:r>
        <w:separator/>
      </w:r>
    </w:p>
  </w:endnote>
  <w:endnote w:type="continuationSeparator" w:id="0">
    <w:p w14:paraId="6E0B95AC" w14:textId="77777777" w:rsidR="00C963EA" w:rsidRDefault="00C9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0290" w14:textId="77777777" w:rsidR="00C963EA" w:rsidRDefault="00C963EA">
      <w:pPr>
        <w:spacing w:after="0" w:line="240" w:lineRule="auto"/>
      </w:pPr>
      <w:r>
        <w:separator/>
      </w:r>
    </w:p>
  </w:footnote>
  <w:footnote w:type="continuationSeparator" w:id="0">
    <w:p w14:paraId="13EB0664" w14:textId="77777777" w:rsidR="00C963EA" w:rsidRDefault="00C9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7389"/>
    <w:rsid w:val="00035E43"/>
    <w:rsid w:val="00050100"/>
    <w:rsid w:val="0005377E"/>
    <w:rsid w:val="00067B0F"/>
    <w:rsid w:val="00072005"/>
    <w:rsid w:val="000766A2"/>
    <w:rsid w:val="00080A3B"/>
    <w:rsid w:val="00082E4E"/>
    <w:rsid w:val="0009216D"/>
    <w:rsid w:val="00093923"/>
    <w:rsid w:val="00095F3F"/>
    <w:rsid w:val="000A55CA"/>
    <w:rsid w:val="000A5EB9"/>
    <w:rsid w:val="000B53C6"/>
    <w:rsid w:val="000E144B"/>
    <w:rsid w:val="000E5532"/>
    <w:rsid w:val="000E642B"/>
    <w:rsid w:val="000E75CD"/>
    <w:rsid w:val="000E7682"/>
    <w:rsid w:val="000F0154"/>
    <w:rsid w:val="000F122E"/>
    <w:rsid w:val="001009A4"/>
    <w:rsid w:val="00102E77"/>
    <w:rsid w:val="00115F8E"/>
    <w:rsid w:val="00125D3A"/>
    <w:rsid w:val="001305E0"/>
    <w:rsid w:val="00130C52"/>
    <w:rsid w:val="00130CAA"/>
    <w:rsid w:val="001333C4"/>
    <w:rsid w:val="00134B49"/>
    <w:rsid w:val="001500BC"/>
    <w:rsid w:val="0015089E"/>
    <w:rsid w:val="00150AA2"/>
    <w:rsid w:val="00155389"/>
    <w:rsid w:val="001570BA"/>
    <w:rsid w:val="00157260"/>
    <w:rsid w:val="00164E9F"/>
    <w:rsid w:val="0017057D"/>
    <w:rsid w:val="00177291"/>
    <w:rsid w:val="00185BCB"/>
    <w:rsid w:val="00185FC7"/>
    <w:rsid w:val="0018770C"/>
    <w:rsid w:val="00192857"/>
    <w:rsid w:val="00193E3F"/>
    <w:rsid w:val="001A0824"/>
    <w:rsid w:val="001A0B4E"/>
    <w:rsid w:val="001C346A"/>
    <w:rsid w:val="001D36AB"/>
    <w:rsid w:val="001E0050"/>
    <w:rsid w:val="001E525B"/>
    <w:rsid w:val="001F609A"/>
    <w:rsid w:val="00201379"/>
    <w:rsid w:val="0022093F"/>
    <w:rsid w:val="00222AE2"/>
    <w:rsid w:val="002275FA"/>
    <w:rsid w:val="00232313"/>
    <w:rsid w:val="002335D8"/>
    <w:rsid w:val="00233712"/>
    <w:rsid w:val="00235369"/>
    <w:rsid w:val="00237339"/>
    <w:rsid w:val="0024104F"/>
    <w:rsid w:val="0024152D"/>
    <w:rsid w:val="0024324D"/>
    <w:rsid w:val="00247E28"/>
    <w:rsid w:val="0025366E"/>
    <w:rsid w:val="00262255"/>
    <w:rsid w:val="0027538A"/>
    <w:rsid w:val="002753AC"/>
    <w:rsid w:val="00276CF7"/>
    <w:rsid w:val="002B02E5"/>
    <w:rsid w:val="002B1ABE"/>
    <w:rsid w:val="002B31DA"/>
    <w:rsid w:val="002C1683"/>
    <w:rsid w:val="002C42E8"/>
    <w:rsid w:val="002D3B90"/>
    <w:rsid w:val="002E1BFC"/>
    <w:rsid w:val="002E64C7"/>
    <w:rsid w:val="002F3133"/>
    <w:rsid w:val="002F354D"/>
    <w:rsid w:val="002F4BD8"/>
    <w:rsid w:val="002F66D6"/>
    <w:rsid w:val="00301EDF"/>
    <w:rsid w:val="00304AEC"/>
    <w:rsid w:val="00310C45"/>
    <w:rsid w:val="00313100"/>
    <w:rsid w:val="00313CE5"/>
    <w:rsid w:val="00314B0E"/>
    <w:rsid w:val="00316A7F"/>
    <w:rsid w:val="00321801"/>
    <w:rsid w:val="003238A0"/>
    <w:rsid w:val="003329DE"/>
    <w:rsid w:val="0033571D"/>
    <w:rsid w:val="00341722"/>
    <w:rsid w:val="0034250B"/>
    <w:rsid w:val="00344BFA"/>
    <w:rsid w:val="00347101"/>
    <w:rsid w:val="00360777"/>
    <w:rsid w:val="00360856"/>
    <w:rsid w:val="00361AD9"/>
    <w:rsid w:val="00365F91"/>
    <w:rsid w:val="0037304C"/>
    <w:rsid w:val="003759B9"/>
    <w:rsid w:val="00376A89"/>
    <w:rsid w:val="0038489F"/>
    <w:rsid w:val="003851CD"/>
    <w:rsid w:val="0038749F"/>
    <w:rsid w:val="00397A22"/>
    <w:rsid w:val="003A215A"/>
    <w:rsid w:val="003A233A"/>
    <w:rsid w:val="003A29B7"/>
    <w:rsid w:val="003A68BD"/>
    <w:rsid w:val="003A6A06"/>
    <w:rsid w:val="003A762F"/>
    <w:rsid w:val="003B1688"/>
    <w:rsid w:val="003B29F3"/>
    <w:rsid w:val="003B6C2F"/>
    <w:rsid w:val="003D01BC"/>
    <w:rsid w:val="003D17A6"/>
    <w:rsid w:val="003E4E8C"/>
    <w:rsid w:val="003F7B03"/>
    <w:rsid w:val="00404EB8"/>
    <w:rsid w:val="00406693"/>
    <w:rsid w:val="004068DC"/>
    <w:rsid w:val="004133DF"/>
    <w:rsid w:val="00413F7F"/>
    <w:rsid w:val="00416024"/>
    <w:rsid w:val="00416D69"/>
    <w:rsid w:val="00417146"/>
    <w:rsid w:val="004208AB"/>
    <w:rsid w:val="00422CD1"/>
    <w:rsid w:val="004235D2"/>
    <w:rsid w:val="00426DDF"/>
    <w:rsid w:val="004310F6"/>
    <w:rsid w:val="00435557"/>
    <w:rsid w:val="00441C82"/>
    <w:rsid w:val="00452CB6"/>
    <w:rsid w:val="00457645"/>
    <w:rsid w:val="004616B1"/>
    <w:rsid w:val="004707BC"/>
    <w:rsid w:val="004710CD"/>
    <w:rsid w:val="00473D61"/>
    <w:rsid w:val="00482473"/>
    <w:rsid w:val="00482771"/>
    <w:rsid w:val="00497172"/>
    <w:rsid w:val="004A2AC7"/>
    <w:rsid w:val="004A5DF8"/>
    <w:rsid w:val="004A7AE8"/>
    <w:rsid w:val="004B001E"/>
    <w:rsid w:val="004B0F66"/>
    <w:rsid w:val="004B4A55"/>
    <w:rsid w:val="004B5413"/>
    <w:rsid w:val="004B6FE6"/>
    <w:rsid w:val="004B75F8"/>
    <w:rsid w:val="004C4C14"/>
    <w:rsid w:val="004C67A4"/>
    <w:rsid w:val="004E58B5"/>
    <w:rsid w:val="004E770C"/>
    <w:rsid w:val="004F6ABA"/>
    <w:rsid w:val="004F7422"/>
    <w:rsid w:val="00500BC9"/>
    <w:rsid w:val="00505BF9"/>
    <w:rsid w:val="00505F99"/>
    <w:rsid w:val="00506AA9"/>
    <w:rsid w:val="005102AC"/>
    <w:rsid w:val="005157FB"/>
    <w:rsid w:val="00523136"/>
    <w:rsid w:val="00524A4E"/>
    <w:rsid w:val="00524F9C"/>
    <w:rsid w:val="00531D2B"/>
    <w:rsid w:val="0053495C"/>
    <w:rsid w:val="0054370E"/>
    <w:rsid w:val="005437D8"/>
    <w:rsid w:val="00546407"/>
    <w:rsid w:val="00546441"/>
    <w:rsid w:val="005468A1"/>
    <w:rsid w:val="0054716D"/>
    <w:rsid w:val="00550F06"/>
    <w:rsid w:val="00550F34"/>
    <w:rsid w:val="00553722"/>
    <w:rsid w:val="00553ACB"/>
    <w:rsid w:val="00556B06"/>
    <w:rsid w:val="005573E7"/>
    <w:rsid w:val="00564372"/>
    <w:rsid w:val="00571816"/>
    <w:rsid w:val="005737F5"/>
    <w:rsid w:val="00574EB8"/>
    <w:rsid w:val="005830ED"/>
    <w:rsid w:val="0058372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5E3165"/>
    <w:rsid w:val="005E4C9D"/>
    <w:rsid w:val="006010B8"/>
    <w:rsid w:val="006020B2"/>
    <w:rsid w:val="00610DFF"/>
    <w:rsid w:val="00612A9C"/>
    <w:rsid w:val="00612C16"/>
    <w:rsid w:val="006253C7"/>
    <w:rsid w:val="00633034"/>
    <w:rsid w:val="00650CB8"/>
    <w:rsid w:val="00654667"/>
    <w:rsid w:val="006625E2"/>
    <w:rsid w:val="006637F6"/>
    <w:rsid w:val="00667458"/>
    <w:rsid w:val="00670529"/>
    <w:rsid w:val="00675153"/>
    <w:rsid w:val="00675B79"/>
    <w:rsid w:val="00676298"/>
    <w:rsid w:val="006769A7"/>
    <w:rsid w:val="0068021E"/>
    <w:rsid w:val="006808C6"/>
    <w:rsid w:val="00682FE8"/>
    <w:rsid w:val="0069385F"/>
    <w:rsid w:val="006944AB"/>
    <w:rsid w:val="006949A9"/>
    <w:rsid w:val="006A3556"/>
    <w:rsid w:val="006A4640"/>
    <w:rsid w:val="006A4653"/>
    <w:rsid w:val="006A61DC"/>
    <w:rsid w:val="006A7FD2"/>
    <w:rsid w:val="006B1D7B"/>
    <w:rsid w:val="006B3426"/>
    <w:rsid w:val="006B5815"/>
    <w:rsid w:val="006C49A6"/>
    <w:rsid w:val="006F0DE7"/>
    <w:rsid w:val="006F360B"/>
    <w:rsid w:val="00710418"/>
    <w:rsid w:val="00713527"/>
    <w:rsid w:val="00714B14"/>
    <w:rsid w:val="00720279"/>
    <w:rsid w:val="00720C79"/>
    <w:rsid w:val="0072326B"/>
    <w:rsid w:val="00727335"/>
    <w:rsid w:val="007300BA"/>
    <w:rsid w:val="00736AF4"/>
    <w:rsid w:val="007371F5"/>
    <w:rsid w:val="00743472"/>
    <w:rsid w:val="00747C2A"/>
    <w:rsid w:val="00757140"/>
    <w:rsid w:val="00757CAC"/>
    <w:rsid w:val="0076393A"/>
    <w:rsid w:val="007648C5"/>
    <w:rsid w:val="00766461"/>
    <w:rsid w:val="007721D0"/>
    <w:rsid w:val="00772444"/>
    <w:rsid w:val="00777610"/>
    <w:rsid w:val="0078063F"/>
    <w:rsid w:val="00782622"/>
    <w:rsid w:val="00784DB6"/>
    <w:rsid w:val="007902A6"/>
    <w:rsid w:val="00791DDA"/>
    <w:rsid w:val="007A4442"/>
    <w:rsid w:val="007A6019"/>
    <w:rsid w:val="007C3BDD"/>
    <w:rsid w:val="007D40DE"/>
    <w:rsid w:val="007D6727"/>
    <w:rsid w:val="007E0D1A"/>
    <w:rsid w:val="007E3790"/>
    <w:rsid w:val="007F5EC0"/>
    <w:rsid w:val="007F5FCD"/>
    <w:rsid w:val="0080608A"/>
    <w:rsid w:val="00815063"/>
    <w:rsid w:val="00816C3F"/>
    <w:rsid w:val="00820583"/>
    <w:rsid w:val="008215FD"/>
    <w:rsid w:val="00822F3F"/>
    <w:rsid w:val="008237C0"/>
    <w:rsid w:val="00824B53"/>
    <w:rsid w:val="00824EA1"/>
    <w:rsid w:val="008317FB"/>
    <w:rsid w:val="008559FE"/>
    <w:rsid w:val="00860BF4"/>
    <w:rsid w:val="00864C11"/>
    <w:rsid w:val="00865B85"/>
    <w:rsid w:val="008709B7"/>
    <w:rsid w:val="00870F9E"/>
    <w:rsid w:val="00877EDA"/>
    <w:rsid w:val="00877F31"/>
    <w:rsid w:val="00887599"/>
    <w:rsid w:val="00897172"/>
    <w:rsid w:val="008A04AC"/>
    <w:rsid w:val="008A1DC3"/>
    <w:rsid w:val="008B6225"/>
    <w:rsid w:val="008C0485"/>
    <w:rsid w:val="008C4D1E"/>
    <w:rsid w:val="008D1336"/>
    <w:rsid w:val="008D68D5"/>
    <w:rsid w:val="008E27CF"/>
    <w:rsid w:val="008E497B"/>
    <w:rsid w:val="008E49D9"/>
    <w:rsid w:val="008F40CC"/>
    <w:rsid w:val="00923679"/>
    <w:rsid w:val="0092494B"/>
    <w:rsid w:val="0092559F"/>
    <w:rsid w:val="009360FC"/>
    <w:rsid w:val="009466A8"/>
    <w:rsid w:val="009539EA"/>
    <w:rsid w:val="00954307"/>
    <w:rsid w:val="00955F62"/>
    <w:rsid w:val="00956469"/>
    <w:rsid w:val="00967E43"/>
    <w:rsid w:val="00974855"/>
    <w:rsid w:val="00982703"/>
    <w:rsid w:val="009832D5"/>
    <w:rsid w:val="00986CCC"/>
    <w:rsid w:val="009A0ACD"/>
    <w:rsid w:val="009A4F88"/>
    <w:rsid w:val="009A67A5"/>
    <w:rsid w:val="009B0864"/>
    <w:rsid w:val="009B19EF"/>
    <w:rsid w:val="009B7108"/>
    <w:rsid w:val="009C0A27"/>
    <w:rsid w:val="009C0B34"/>
    <w:rsid w:val="009C7649"/>
    <w:rsid w:val="009C7F01"/>
    <w:rsid w:val="009D4E10"/>
    <w:rsid w:val="009D5D34"/>
    <w:rsid w:val="009E25BF"/>
    <w:rsid w:val="009E2EF8"/>
    <w:rsid w:val="009E3A3C"/>
    <w:rsid w:val="009E3F04"/>
    <w:rsid w:val="009F079D"/>
    <w:rsid w:val="00A02F62"/>
    <w:rsid w:val="00A053B4"/>
    <w:rsid w:val="00A06745"/>
    <w:rsid w:val="00A137F1"/>
    <w:rsid w:val="00A313D9"/>
    <w:rsid w:val="00A35061"/>
    <w:rsid w:val="00A3696D"/>
    <w:rsid w:val="00A462AC"/>
    <w:rsid w:val="00A547F7"/>
    <w:rsid w:val="00A561E5"/>
    <w:rsid w:val="00A56612"/>
    <w:rsid w:val="00A5741E"/>
    <w:rsid w:val="00A57792"/>
    <w:rsid w:val="00A6348C"/>
    <w:rsid w:val="00A667A6"/>
    <w:rsid w:val="00A75BE7"/>
    <w:rsid w:val="00A97223"/>
    <w:rsid w:val="00AB54AF"/>
    <w:rsid w:val="00AC6B98"/>
    <w:rsid w:val="00AD29B5"/>
    <w:rsid w:val="00AD394D"/>
    <w:rsid w:val="00AE217B"/>
    <w:rsid w:val="00AE2E93"/>
    <w:rsid w:val="00AE49F1"/>
    <w:rsid w:val="00AE78EF"/>
    <w:rsid w:val="00AE7FAE"/>
    <w:rsid w:val="00AF22FC"/>
    <w:rsid w:val="00B0309F"/>
    <w:rsid w:val="00B04C4B"/>
    <w:rsid w:val="00B05DB1"/>
    <w:rsid w:val="00B06729"/>
    <w:rsid w:val="00B1444E"/>
    <w:rsid w:val="00B1703A"/>
    <w:rsid w:val="00B23F18"/>
    <w:rsid w:val="00B44FE9"/>
    <w:rsid w:val="00B606BD"/>
    <w:rsid w:val="00B60882"/>
    <w:rsid w:val="00B66D49"/>
    <w:rsid w:val="00B75E31"/>
    <w:rsid w:val="00B803EE"/>
    <w:rsid w:val="00B81EB0"/>
    <w:rsid w:val="00B82A4A"/>
    <w:rsid w:val="00B931E3"/>
    <w:rsid w:val="00B93F55"/>
    <w:rsid w:val="00B955F5"/>
    <w:rsid w:val="00B96710"/>
    <w:rsid w:val="00BA07CD"/>
    <w:rsid w:val="00BA1436"/>
    <w:rsid w:val="00BA38A7"/>
    <w:rsid w:val="00BA54AA"/>
    <w:rsid w:val="00BB1B04"/>
    <w:rsid w:val="00BC1653"/>
    <w:rsid w:val="00BC68C8"/>
    <w:rsid w:val="00BD1CC0"/>
    <w:rsid w:val="00BD62B7"/>
    <w:rsid w:val="00BD7E6E"/>
    <w:rsid w:val="00BF09A2"/>
    <w:rsid w:val="00BF5902"/>
    <w:rsid w:val="00C10569"/>
    <w:rsid w:val="00C14ADE"/>
    <w:rsid w:val="00C221F8"/>
    <w:rsid w:val="00C233E0"/>
    <w:rsid w:val="00C2469A"/>
    <w:rsid w:val="00C2750E"/>
    <w:rsid w:val="00C329B0"/>
    <w:rsid w:val="00C338F4"/>
    <w:rsid w:val="00C34D4F"/>
    <w:rsid w:val="00C37910"/>
    <w:rsid w:val="00C41091"/>
    <w:rsid w:val="00C455FD"/>
    <w:rsid w:val="00C470A6"/>
    <w:rsid w:val="00C470CF"/>
    <w:rsid w:val="00C5703D"/>
    <w:rsid w:val="00C63626"/>
    <w:rsid w:val="00C65F2B"/>
    <w:rsid w:val="00C724FF"/>
    <w:rsid w:val="00C72E64"/>
    <w:rsid w:val="00C76721"/>
    <w:rsid w:val="00C82317"/>
    <w:rsid w:val="00C86CBF"/>
    <w:rsid w:val="00C963EA"/>
    <w:rsid w:val="00CA3D4E"/>
    <w:rsid w:val="00CC0654"/>
    <w:rsid w:val="00CC50E6"/>
    <w:rsid w:val="00CC5A06"/>
    <w:rsid w:val="00CC74C5"/>
    <w:rsid w:val="00CE2505"/>
    <w:rsid w:val="00CE4918"/>
    <w:rsid w:val="00CE4D68"/>
    <w:rsid w:val="00CE5EB0"/>
    <w:rsid w:val="00CF0E14"/>
    <w:rsid w:val="00D04E46"/>
    <w:rsid w:val="00D05C3E"/>
    <w:rsid w:val="00D1095E"/>
    <w:rsid w:val="00D145AF"/>
    <w:rsid w:val="00D27960"/>
    <w:rsid w:val="00D323D5"/>
    <w:rsid w:val="00D34805"/>
    <w:rsid w:val="00D66A10"/>
    <w:rsid w:val="00D67CD0"/>
    <w:rsid w:val="00D70C71"/>
    <w:rsid w:val="00D715AE"/>
    <w:rsid w:val="00D71775"/>
    <w:rsid w:val="00D72983"/>
    <w:rsid w:val="00D72CBD"/>
    <w:rsid w:val="00D743A1"/>
    <w:rsid w:val="00D75178"/>
    <w:rsid w:val="00D75E05"/>
    <w:rsid w:val="00D8009B"/>
    <w:rsid w:val="00D833B8"/>
    <w:rsid w:val="00D84E9D"/>
    <w:rsid w:val="00D93685"/>
    <w:rsid w:val="00DA1CD3"/>
    <w:rsid w:val="00DA5172"/>
    <w:rsid w:val="00DA7A55"/>
    <w:rsid w:val="00DB0931"/>
    <w:rsid w:val="00DB3542"/>
    <w:rsid w:val="00DB5A1B"/>
    <w:rsid w:val="00DB5E14"/>
    <w:rsid w:val="00DB7E6D"/>
    <w:rsid w:val="00DC0E9A"/>
    <w:rsid w:val="00DC2393"/>
    <w:rsid w:val="00DC263B"/>
    <w:rsid w:val="00DC3520"/>
    <w:rsid w:val="00DC4B41"/>
    <w:rsid w:val="00DD0127"/>
    <w:rsid w:val="00DD53C6"/>
    <w:rsid w:val="00DE40A6"/>
    <w:rsid w:val="00DF361C"/>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34C49"/>
    <w:rsid w:val="00E45645"/>
    <w:rsid w:val="00E45A80"/>
    <w:rsid w:val="00E50842"/>
    <w:rsid w:val="00E529EC"/>
    <w:rsid w:val="00E55F86"/>
    <w:rsid w:val="00E57DB4"/>
    <w:rsid w:val="00E57EF6"/>
    <w:rsid w:val="00E6461E"/>
    <w:rsid w:val="00E64F0C"/>
    <w:rsid w:val="00E66EF4"/>
    <w:rsid w:val="00E66FC5"/>
    <w:rsid w:val="00E67967"/>
    <w:rsid w:val="00E71EE9"/>
    <w:rsid w:val="00E738A1"/>
    <w:rsid w:val="00E83161"/>
    <w:rsid w:val="00E84754"/>
    <w:rsid w:val="00E84AC7"/>
    <w:rsid w:val="00E852E0"/>
    <w:rsid w:val="00E92FC0"/>
    <w:rsid w:val="00EA2F2F"/>
    <w:rsid w:val="00EA3E18"/>
    <w:rsid w:val="00EB3A0E"/>
    <w:rsid w:val="00EB414D"/>
    <w:rsid w:val="00EB54CE"/>
    <w:rsid w:val="00EB7B1F"/>
    <w:rsid w:val="00EC4C57"/>
    <w:rsid w:val="00ED0AB6"/>
    <w:rsid w:val="00ED0B98"/>
    <w:rsid w:val="00ED0DF3"/>
    <w:rsid w:val="00EE0EA6"/>
    <w:rsid w:val="00F02CF7"/>
    <w:rsid w:val="00F02D12"/>
    <w:rsid w:val="00F05C9F"/>
    <w:rsid w:val="00F16430"/>
    <w:rsid w:val="00F17158"/>
    <w:rsid w:val="00F20A91"/>
    <w:rsid w:val="00F21EF8"/>
    <w:rsid w:val="00F22B71"/>
    <w:rsid w:val="00F23E1E"/>
    <w:rsid w:val="00F32F50"/>
    <w:rsid w:val="00F37DD8"/>
    <w:rsid w:val="00F42365"/>
    <w:rsid w:val="00F45260"/>
    <w:rsid w:val="00F64DDD"/>
    <w:rsid w:val="00F65373"/>
    <w:rsid w:val="00F654C5"/>
    <w:rsid w:val="00F8380D"/>
    <w:rsid w:val="00F8382C"/>
    <w:rsid w:val="00F842EA"/>
    <w:rsid w:val="00F85274"/>
    <w:rsid w:val="00F93517"/>
    <w:rsid w:val="00F935B2"/>
    <w:rsid w:val="00F94E65"/>
    <w:rsid w:val="00F96137"/>
    <w:rsid w:val="00FA7906"/>
    <w:rsid w:val="00FB2C65"/>
    <w:rsid w:val="00FB7A2F"/>
    <w:rsid w:val="00FB7C1D"/>
    <w:rsid w:val="00FC1942"/>
    <w:rsid w:val="00FC4D60"/>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 w:id="177604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va-gram.c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ola.carreras@ce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ev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Props1.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3704</Characters>
  <Application>Microsoft Office Word</Application>
  <DocSecurity>0</DocSecurity>
  <Lines>72</Lines>
  <Paragraphs>23</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8</cp:revision>
  <dcterms:created xsi:type="dcterms:W3CDTF">2024-03-21T13:15:00Z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e23455c981e581a3911c8ca5fd97713259ee3ef307b75c532fad411c4b83f866</vt:lpwstr>
  </property>
</Properties>
</file>