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AE35" w14:textId="5DA44769" w:rsidR="00EE6F6B" w:rsidRPr="006337C3" w:rsidRDefault="00EE6F6B" w:rsidP="006337C3">
      <w:pPr>
        <w:spacing w:after="200"/>
        <w:jc w:val="center"/>
        <w:rPr>
          <w:rFonts w:ascii="Calibri" w:hAnsi="Calibri" w:cs="Calibri"/>
          <w:b/>
          <w:bCs/>
          <w:sz w:val="36"/>
          <w:szCs w:val="36"/>
        </w:rPr>
      </w:pPr>
      <w:r w:rsidRPr="00EE6F6B">
        <w:rPr>
          <w:b/>
          <w:bCs/>
          <w:sz w:val="36"/>
          <w:szCs w:val="36"/>
        </w:rPr>
        <w:t xml:space="preserve">Veterinarios analizan los beneficios del </w:t>
      </w:r>
      <w:proofErr w:type="spellStart"/>
      <w:r w:rsidRPr="00EE6F6B">
        <w:rPr>
          <w:b/>
          <w:bCs/>
          <w:sz w:val="36"/>
          <w:szCs w:val="36"/>
        </w:rPr>
        <w:t>pimobendán</w:t>
      </w:r>
      <w:proofErr w:type="spellEnd"/>
      <w:r w:rsidRPr="00EE6F6B">
        <w:rPr>
          <w:b/>
          <w:bCs/>
          <w:sz w:val="36"/>
          <w:szCs w:val="36"/>
        </w:rPr>
        <w:t xml:space="preserve"> durante la anestesia general en perros sénior sin patología cardiaca</w:t>
      </w:r>
    </w:p>
    <w:p w14:paraId="734CB4A7" w14:textId="34C22D05" w:rsidR="00EE6F6B" w:rsidRPr="0023171A" w:rsidRDefault="00EE6F6B" w:rsidP="00EE6F6B">
      <w:pPr>
        <w:pStyle w:val="Prrafodelista"/>
        <w:numPr>
          <w:ilvl w:val="0"/>
          <w:numId w:val="5"/>
        </w:numPr>
        <w:jc w:val="both"/>
        <w:rPr>
          <w:b/>
          <w:bCs/>
          <w:sz w:val="24"/>
          <w:szCs w:val="24"/>
        </w:rPr>
      </w:pPr>
      <w:r w:rsidRPr="0023171A">
        <w:rPr>
          <w:b/>
          <w:bCs/>
          <w:sz w:val="24"/>
          <w:szCs w:val="24"/>
        </w:rPr>
        <w:t xml:space="preserve">Según un estudio en el que han participado expertos de AniCura, el </w:t>
      </w:r>
      <w:proofErr w:type="spellStart"/>
      <w:r w:rsidRPr="0023171A">
        <w:rPr>
          <w:b/>
          <w:bCs/>
          <w:sz w:val="24"/>
          <w:szCs w:val="24"/>
        </w:rPr>
        <w:t>pimobend</w:t>
      </w:r>
      <w:r w:rsidR="00C730F3">
        <w:rPr>
          <w:b/>
          <w:bCs/>
          <w:sz w:val="24"/>
          <w:szCs w:val="24"/>
        </w:rPr>
        <w:t>á</w:t>
      </w:r>
      <w:r w:rsidRPr="0023171A">
        <w:rPr>
          <w:b/>
          <w:bCs/>
          <w:sz w:val="24"/>
          <w:szCs w:val="24"/>
        </w:rPr>
        <w:t>n</w:t>
      </w:r>
      <w:proofErr w:type="spellEnd"/>
      <w:r w:rsidRPr="0023171A">
        <w:rPr>
          <w:b/>
          <w:bCs/>
          <w:sz w:val="24"/>
          <w:szCs w:val="24"/>
        </w:rPr>
        <w:t xml:space="preserve"> podría mejorar la función ventricular izquierda durante la anestesia general en procedimientos quirúrgicos en perros de edad avanzada</w:t>
      </w:r>
    </w:p>
    <w:p w14:paraId="2A06FF83" w14:textId="77777777" w:rsidR="00B6630A" w:rsidRDefault="00B6630A" w:rsidP="0023171A">
      <w:pPr>
        <w:pStyle w:val="TableParagraph"/>
        <w:spacing w:before="2" w:line="276" w:lineRule="auto"/>
        <w:ind w:left="720"/>
        <w:jc w:val="both"/>
        <w:rPr>
          <w:sz w:val="24"/>
          <w:szCs w:val="24"/>
        </w:rPr>
      </w:pPr>
    </w:p>
    <w:p w14:paraId="53DADFB7" w14:textId="546BD995" w:rsidR="00EE6F6B" w:rsidRPr="0023171A" w:rsidRDefault="00EE6F6B" w:rsidP="00EE6F6B">
      <w:pPr>
        <w:jc w:val="both"/>
        <w:rPr>
          <w:sz w:val="24"/>
          <w:szCs w:val="24"/>
        </w:rPr>
      </w:pPr>
      <w:r w:rsidRPr="0023171A">
        <w:rPr>
          <w:b/>
          <w:bCs/>
          <w:sz w:val="24"/>
          <w:szCs w:val="24"/>
        </w:rPr>
        <w:t xml:space="preserve">Madrid, </w:t>
      </w:r>
      <w:r w:rsidR="005E0CAE">
        <w:rPr>
          <w:b/>
          <w:bCs/>
          <w:sz w:val="24"/>
          <w:szCs w:val="24"/>
        </w:rPr>
        <w:t>6</w:t>
      </w:r>
      <w:r w:rsidRPr="0023171A">
        <w:rPr>
          <w:b/>
          <w:bCs/>
          <w:sz w:val="24"/>
          <w:szCs w:val="24"/>
        </w:rPr>
        <w:t xml:space="preserve"> de </w:t>
      </w:r>
      <w:r w:rsidR="005E0CAE">
        <w:rPr>
          <w:b/>
          <w:bCs/>
          <w:sz w:val="24"/>
          <w:szCs w:val="24"/>
        </w:rPr>
        <w:t>noviembre</w:t>
      </w:r>
      <w:r w:rsidRPr="0023171A">
        <w:rPr>
          <w:b/>
          <w:bCs/>
          <w:sz w:val="24"/>
          <w:szCs w:val="24"/>
        </w:rPr>
        <w:t xml:space="preserve"> de 2023.-</w:t>
      </w:r>
      <w:r w:rsidRPr="0023171A">
        <w:rPr>
          <w:sz w:val="24"/>
          <w:szCs w:val="24"/>
        </w:rPr>
        <w:t xml:space="preserve"> El </w:t>
      </w:r>
      <w:proofErr w:type="spellStart"/>
      <w:r w:rsidRPr="0023171A">
        <w:rPr>
          <w:sz w:val="24"/>
          <w:szCs w:val="24"/>
        </w:rPr>
        <w:t>pimobendán</w:t>
      </w:r>
      <w:proofErr w:type="spellEnd"/>
      <w:r w:rsidRPr="0023171A">
        <w:rPr>
          <w:sz w:val="24"/>
          <w:szCs w:val="24"/>
        </w:rPr>
        <w:t xml:space="preserve">, fármaco empleado en perros con valvulopatía mitral y miocardiopatía dilatada, mejora los parámetros de la función cardiaca en perros sénior sanos sometidos a anestesia general. Así lo detalla un estudio publicado en la revista </w:t>
      </w:r>
      <w:proofErr w:type="spellStart"/>
      <w:r w:rsidRPr="0023171A">
        <w:rPr>
          <w:i/>
          <w:iCs/>
          <w:sz w:val="24"/>
          <w:szCs w:val="24"/>
        </w:rPr>
        <w:t>Animals</w:t>
      </w:r>
      <w:proofErr w:type="spellEnd"/>
      <w:r w:rsidRPr="0023171A">
        <w:rPr>
          <w:rStyle w:val="Refdenotaalfinal"/>
          <w:i/>
          <w:iCs/>
          <w:sz w:val="24"/>
          <w:szCs w:val="24"/>
        </w:rPr>
        <w:endnoteReference w:id="2"/>
      </w:r>
      <w:r w:rsidRPr="0023171A">
        <w:rPr>
          <w:i/>
          <w:iCs/>
          <w:sz w:val="24"/>
          <w:szCs w:val="24"/>
        </w:rPr>
        <w:t xml:space="preserve"> </w:t>
      </w:r>
      <w:r w:rsidRPr="0023171A">
        <w:rPr>
          <w:sz w:val="24"/>
          <w:szCs w:val="24"/>
        </w:rPr>
        <w:t xml:space="preserve">en el que han participado expertos de </w:t>
      </w:r>
      <w:hyperlink r:id="rId11" w:tgtFrame="_blank" w:history="1">
        <w:r w:rsidRPr="0023171A">
          <w:rPr>
            <w:rStyle w:val="normaltextrun"/>
            <w:rFonts w:ascii="Calibri" w:hAnsi="Calibri" w:cs="Calibri"/>
            <w:b/>
            <w:bCs/>
            <w:color w:val="0000FF"/>
            <w:sz w:val="24"/>
            <w:szCs w:val="24"/>
            <w:u w:val="single"/>
            <w:shd w:val="clear" w:color="auto" w:fill="FFFFFF"/>
          </w:rPr>
          <w:t>AniCura</w:t>
        </w:r>
      </w:hyperlink>
      <w:r w:rsidRPr="0023171A">
        <w:rPr>
          <w:sz w:val="24"/>
          <w:szCs w:val="24"/>
        </w:rPr>
        <w:t>, grupo de clínicas, centros de referencia y hospitales veterinarios especializados en animales de compañía.</w:t>
      </w:r>
    </w:p>
    <w:p w14:paraId="0EC54A12" w14:textId="2C8FFBF6" w:rsidR="00EE6F6B" w:rsidRPr="0023171A" w:rsidRDefault="00EE6F6B" w:rsidP="00EE6F6B">
      <w:pPr>
        <w:jc w:val="both"/>
        <w:rPr>
          <w:sz w:val="24"/>
          <w:szCs w:val="24"/>
        </w:rPr>
      </w:pPr>
      <w:r w:rsidRPr="0023171A">
        <w:rPr>
          <w:i/>
          <w:iCs/>
          <w:sz w:val="24"/>
          <w:szCs w:val="24"/>
        </w:rPr>
        <w:t>“Cada vez son más los perros de edad avanzada que precisan de cirugía y de anestesia general</w:t>
      </w:r>
      <w:r w:rsidRPr="0023171A">
        <w:rPr>
          <w:rStyle w:val="Refdenotaalfinal"/>
          <w:i/>
          <w:iCs/>
          <w:sz w:val="24"/>
          <w:szCs w:val="24"/>
        </w:rPr>
        <w:endnoteReference w:id="3"/>
      </w:r>
      <w:r w:rsidRPr="0023171A">
        <w:rPr>
          <w:i/>
          <w:iCs/>
          <w:sz w:val="24"/>
          <w:szCs w:val="24"/>
          <w:vertAlign w:val="superscript"/>
        </w:rPr>
        <w:t>,</w:t>
      </w:r>
      <w:r w:rsidRPr="0023171A">
        <w:rPr>
          <w:rStyle w:val="Refdenotaalfinal"/>
          <w:i/>
          <w:iCs/>
          <w:sz w:val="24"/>
          <w:szCs w:val="24"/>
        </w:rPr>
        <w:endnoteReference w:id="4"/>
      </w:r>
      <w:r w:rsidRPr="0023171A">
        <w:rPr>
          <w:i/>
          <w:iCs/>
          <w:sz w:val="24"/>
          <w:szCs w:val="24"/>
        </w:rPr>
        <w:t xml:space="preserve">. Por eso, para los veterinarios es de gran utilidad conocer que el </w:t>
      </w:r>
      <w:proofErr w:type="spellStart"/>
      <w:r w:rsidRPr="0023171A">
        <w:rPr>
          <w:i/>
          <w:iCs/>
          <w:sz w:val="24"/>
          <w:szCs w:val="24"/>
        </w:rPr>
        <w:t>pimobendán</w:t>
      </w:r>
      <w:proofErr w:type="spellEnd"/>
      <w:r w:rsidRPr="0023171A">
        <w:rPr>
          <w:i/>
          <w:iCs/>
          <w:sz w:val="24"/>
          <w:szCs w:val="24"/>
        </w:rPr>
        <w:t xml:space="preserve"> puede emplearse en pacientes sénior sin patología cardiaca, en los que exista preocupación por la posible presencia de una función cardiaca alterada, con el fin de mejorar la función ventricular izquierda durante la anestesia general”,</w:t>
      </w:r>
      <w:r w:rsidRPr="0023171A">
        <w:rPr>
          <w:sz w:val="24"/>
          <w:szCs w:val="24"/>
        </w:rPr>
        <w:t xml:space="preserve"> explica </w:t>
      </w:r>
      <w:r w:rsidRPr="0023171A">
        <w:rPr>
          <w:rStyle w:val="normaltextrun"/>
          <w:rFonts w:ascii="Calibri" w:hAnsi="Calibri" w:cs="Calibri"/>
          <w:b/>
          <w:bCs/>
          <w:color w:val="000000"/>
          <w:sz w:val="24"/>
          <w:szCs w:val="24"/>
          <w:shd w:val="clear" w:color="auto" w:fill="FFFFFF"/>
        </w:rPr>
        <w:t xml:space="preserve">José Gómez, </w:t>
      </w:r>
      <w:r w:rsidRPr="0023171A">
        <w:rPr>
          <w:rStyle w:val="normaltextrun"/>
          <w:rFonts w:ascii="Calibri" w:hAnsi="Calibri" w:cs="Calibri"/>
          <w:color w:val="000000"/>
          <w:sz w:val="24"/>
          <w:szCs w:val="24"/>
          <w:shd w:val="clear" w:color="auto" w:fill="FFFFFF"/>
        </w:rPr>
        <w:t xml:space="preserve">Head </w:t>
      </w:r>
      <w:proofErr w:type="spellStart"/>
      <w:r w:rsidRPr="0023171A">
        <w:rPr>
          <w:rStyle w:val="normaltextrun"/>
          <w:rFonts w:ascii="Calibri" w:hAnsi="Calibri" w:cs="Calibri"/>
          <w:color w:val="000000"/>
          <w:sz w:val="24"/>
          <w:szCs w:val="24"/>
          <w:shd w:val="clear" w:color="auto" w:fill="FFFFFF"/>
        </w:rPr>
        <w:t>of</w:t>
      </w:r>
      <w:proofErr w:type="spellEnd"/>
      <w:r w:rsidRPr="0023171A">
        <w:rPr>
          <w:rStyle w:val="normaltextrun"/>
          <w:rFonts w:ascii="Calibri" w:hAnsi="Calibri" w:cs="Calibri"/>
          <w:color w:val="000000"/>
          <w:sz w:val="24"/>
          <w:szCs w:val="24"/>
          <w:shd w:val="clear" w:color="auto" w:fill="FFFFFF"/>
        </w:rPr>
        <w:t xml:space="preserve"> Medical </w:t>
      </w:r>
      <w:proofErr w:type="spellStart"/>
      <w:r w:rsidRPr="0023171A">
        <w:rPr>
          <w:rStyle w:val="normaltextrun"/>
          <w:rFonts w:ascii="Calibri" w:hAnsi="Calibri" w:cs="Calibri"/>
          <w:color w:val="000000"/>
          <w:sz w:val="24"/>
          <w:szCs w:val="24"/>
          <w:shd w:val="clear" w:color="auto" w:fill="FFFFFF"/>
        </w:rPr>
        <w:t>Service</w:t>
      </w:r>
      <w:proofErr w:type="spellEnd"/>
      <w:r w:rsidRPr="0023171A">
        <w:rPr>
          <w:rStyle w:val="normaltextrun"/>
          <w:rFonts w:ascii="Calibri" w:hAnsi="Calibri" w:cs="Calibri"/>
          <w:color w:val="000000"/>
          <w:sz w:val="24"/>
          <w:szCs w:val="24"/>
          <w:shd w:val="clear" w:color="auto" w:fill="FFFFFF"/>
        </w:rPr>
        <w:t xml:space="preserve"> Iberia de </w:t>
      </w:r>
      <w:hyperlink r:id="rId12" w:tgtFrame="_blank" w:history="1">
        <w:r w:rsidRPr="0023171A">
          <w:rPr>
            <w:rStyle w:val="normaltextrun"/>
            <w:rFonts w:ascii="Calibri" w:hAnsi="Calibri" w:cs="Calibri"/>
            <w:b/>
            <w:bCs/>
            <w:color w:val="0000FF"/>
            <w:sz w:val="24"/>
            <w:szCs w:val="24"/>
            <w:u w:val="single"/>
            <w:shd w:val="clear" w:color="auto" w:fill="FFFFFF"/>
          </w:rPr>
          <w:t>AniCura</w:t>
        </w:r>
      </w:hyperlink>
      <w:r w:rsidRPr="0023171A">
        <w:rPr>
          <w:rStyle w:val="normaltextrun"/>
          <w:rFonts w:ascii="Calibri" w:hAnsi="Calibri" w:cs="Calibri"/>
          <w:color w:val="000000"/>
          <w:sz w:val="24"/>
          <w:szCs w:val="24"/>
          <w:shd w:val="clear" w:color="auto" w:fill="FFFFFF"/>
        </w:rPr>
        <w:t>.</w:t>
      </w:r>
    </w:p>
    <w:p w14:paraId="41B75F2B" w14:textId="76DDE86C" w:rsidR="00EE6F6B" w:rsidRPr="0023171A" w:rsidRDefault="00EE6F6B" w:rsidP="00EE6F6B">
      <w:pPr>
        <w:jc w:val="both"/>
        <w:rPr>
          <w:sz w:val="24"/>
          <w:szCs w:val="24"/>
        </w:rPr>
      </w:pPr>
      <w:r w:rsidRPr="0023171A">
        <w:rPr>
          <w:sz w:val="24"/>
          <w:szCs w:val="24"/>
        </w:rPr>
        <w:t xml:space="preserve">En concreto, este </w:t>
      </w:r>
      <w:r w:rsidRPr="00C730F3">
        <w:rPr>
          <w:sz w:val="24"/>
          <w:szCs w:val="24"/>
        </w:rPr>
        <w:t xml:space="preserve">estudio aleatorizado triple ciego, </w:t>
      </w:r>
      <w:r w:rsidR="002F47B5" w:rsidRPr="00C730F3">
        <w:rPr>
          <w:sz w:val="24"/>
          <w:szCs w:val="24"/>
        </w:rPr>
        <w:t>realizado</w:t>
      </w:r>
      <w:r w:rsidR="00F61A36">
        <w:rPr>
          <w:sz w:val="24"/>
          <w:szCs w:val="24"/>
        </w:rPr>
        <w:t xml:space="preserve"> por</w:t>
      </w:r>
      <w:r w:rsidR="002F47B5" w:rsidRPr="00C730F3">
        <w:rPr>
          <w:sz w:val="24"/>
          <w:szCs w:val="24"/>
        </w:rPr>
        <w:t xml:space="preserve"> </w:t>
      </w:r>
      <w:r w:rsidR="00C730F3" w:rsidRPr="00C730F3">
        <w:rPr>
          <w:rStyle w:val="normaltextrun"/>
          <w:rFonts w:ascii="Calibri" w:hAnsi="Calibri" w:cs="Calibri"/>
          <w:color w:val="000000"/>
          <w:sz w:val="24"/>
          <w:szCs w:val="24"/>
          <w:shd w:val="clear" w:color="auto" w:fill="FFFFFF"/>
        </w:rPr>
        <w:t>José Gómez</w:t>
      </w:r>
      <w:r w:rsidR="00C730F3" w:rsidRPr="00C730F3">
        <w:rPr>
          <w:sz w:val="24"/>
          <w:szCs w:val="24"/>
        </w:rPr>
        <w:t xml:space="preserve">, </w:t>
      </w:r>
      <w:r w:rsidRPr="00C730F3">
        <w:rPr>
          <w:b/>
          <w:bCs/>
          <w:sz w:val="24"/>
          <w:szCs w:val="24"/>
        </w:rPr>
        <w:t xml:space="preserve">Ignacio </w:t>
      </w:r>
      <w:proofErr w:type="spellStart"/>
      <w:r w:rsidRPr="00C730F3">
        <w:rPr>
          <w:b/>
          <w:bCs/>
          <w:sz w:val="24"/>
          <w:szCs w:val="24"/>
        </w:rPr>
        <w:t>Sández</w:t>
      </w:r>
      <w:proofErr w:type="spellEnd"/>
      <w:r w:rsidRPr="00C730F3">
        <w:rPr>
          <w:sz w:val="24"/>
          <w:szCs w:val="24"/>
        </w:rPr>
        <w:t xml:space="preserve">, coordinador del Departamento de Anestesiología y Dolor de </w:t>
      </w:r>
      <w:hyperlink r:id="rId13" w:history="1">
        <w:r w:rsidRPr="00C730F3">
          <w:rPr>
            <w:rStyle w:val="Hipervnculo"/>
            <w:b/>
            <w:bCs/>
            <w:sz w:val="24"/>
            <w:szCs w:val="24"/>
          </w:rPr>
          <w:t>AniCura Vetsia Hospital Veterinario</w:t>
        </w:r>
      </w:hyperlink>
      <w:r w:rsidRPr="00C730F3">
        <w:rPr>
          <w:sz w:val="24"/>
          <w:szCs w:val="24"/>
        </w:rPr>
        <w:t>,</w:t>
      </w:r>
      <w:r w:rsidR="00A13E68">
        <w:rPr>
          <w:sz w:val="24"/>
          <w:szCs w:val="24"/>
        </w:rPr>
        <w:t xml:space="preserve"> José</w:t>
      </w:r>
      <w:r w:rsidR="002F47B5" w:rsidRPr="00C730F3">
        <w:rPr>
          <w:sz w:val="24"/>
          <w:szCs w:val="24"/>
        </w:rPr>
        <w:t xml:space="preserve"> Ignacio Redondo, del Departamento de Medicina y Cirugía Animal</w:t>
      </w:r>
      <w:r w:rsidR="00F61A36">
        <w:rPr>
          <w:sz w:val="24"/>
          <w:szCs w:val="24"/>
        </w:rPr>
        <w:t xml:space="preserve"> de la </w:t>
      </w:r>
      <w:r w:rsidR="002F47B5" w:rsidRPr="00C730F3">
        <w:rPr>
          <w:sz w:val="24"/>
          <w:szCs w:val="24"/>
        </w:rPr>
        <w:t>Facultad de Veterinaria de la Universidad Cardenal Herrera-CEU</w:t>
      </w:r>
      <w:r w:rsidR="00F61A36">
        <w:rPr>
          <w:sz w:val="24"/>
          <w:szCs w:val="24"/>
        </w:rPr>
        <w:t>,</w:t>
      </w:r>
      <w:r w:rsidR="00C730F3" w:rsidRPr="00C730F3">
        <w:rPr>
          <w:sz w:val="24"/>
          <w:szCs w:val="24"/>
        </w:rPr>
        <w:t xml:space="preserve"> y</w:t>
      </w:r>
      <w:r w:rsidR="002F47B5" w:rsidRPr="00C730F3">
        <w:rPr>
          <w:sz w:val="24"/>
          <w:szCs w:val="24"/>
        </w:rPr>
        <w:t xml:space="preserve"> Pablo </w:t>
      </w:r>
      <w:proofErr w:type="spellStart"/>
      <w:r w:rsidR="002F47B5" w:rsidRPr="00C730F3">
        <w:rPr>
          <w:sz w:val="24"/>
          <w:szCs w:val="24"/>
        </w:rPr>
        <w:t>Donati</w:t>
      </w:r>
      <w:proofErr w:type="spellEnd"/>
      <w:r w:rsidR="002F47B5" w:rsidRPr="00C730F3">
        <w:rPr>
          <w:sz w:val="24"/>
          <w:szCs w:val="24"/>
        </w:rPr>
        <w:t>, del Depart</w:t>
      </w:r>
      <w:r w:rsidR="00C730F3" w:rsidRPr="00C730F3">
        <w:rPr>
          <w:sz w:val="24"/>
          <w:szCs w:val="24"/>
        </w:rPr>
        <w:t>a</w:t>
      </w:r>
      <w:r w:rsidR="002F47B5" w:rsidRPr="00C730F3">
        <w:rPr>
          <w:sz w:val="24"/>
          <w:szCs w:val="24"/>
        </w:rPr>
        <w:t>mento</w:t>
      </w:r>
      <w:r w:rsidR="00C730F3" w:rsidRPr="00C730F3">
        <w:rPr>
          <w:sz w:val="24"/>
          <w:szCs w:val="24"/>
        </w:rPr>
        <w:t xml:space="preserve"> de A</w:t>
      </w:r>
      <w:r w:rsidR="002F47B5" w:rsidRPr="00C730F3">
        <w:rPr>
          <w:sz w:val="24"/>
          <w:szCs w:val="24"/>
        </w:rPr>
        <w:t xml:space="preserve">nestesiología y manejo del dolor de la Facultad de Ciencias Veterinarias de la Universidad de Buenos Aires, </w:t>
      </w:r>
      <w:r w:rsidRPr="00C730F3">
        <w:rPr>
          <w:sz w:val="24"/>
          <w:szCs w:val="24"/>
        </w:rPr>
        <w:t xml:space="preserve">pretendía evaluar por primera vez los efectos de la administración intravenosa de </w:t>
      </w:r>
      <w:proofErr w:type="spellStart"/>
      <w:r w:rsidRPr="00C730F3">
        <w:rPr>
          <w:sz w:val="24"/>
          <w:szCs w:val="24"/>
        </w:rPr>
        <w:t>pimobendán</w:t>
      </w:r>
      <w:proofErr w:type="spellEnd"/>
      <w:r w:rsidR="002F47B5" w:rsidRPr="00C730F3">
        <w:rPr>
          <w:sz w:val="24"/>
          <w:szCs w:val="24"/>
        </w:rPr>
        <w:t xml:space="preserve"> </w:t>
      </w:r>
      <w:r w:rsidRPr="00C730F3">
        <w:rPr>
          <w:sz w:val="24"/>
          <w:szCs w:val="24"/>
        </w:rPr>
        <w:t xml:space="preserve"> a una dosis de 0,15 mg/kg en perros sénior sin enfermedades cardiacas previas anestesiados durante</w:t>
      </w:r>
      <w:r w:rsidRPr="0023171A">
        <w:rPr>
          <w:sz w:val="24"/>
          <w:szCs w:val="24"/>
        </w:rPr>
        <w:t xml:space="preserve"> procedimientos quirúrgicos.</w:t>
      </w:r>
    </w:p>
    <w:p w14:paraId="32CACB2A" w14:textId="77777777" w:rsidR="00EE6F6B" w:rsidRPr="0023171A" w:rsidRDefault="00EE6F6B" w:rsidP="00EE6F6B">
      <w:pPr>
        <w:jc w:val="both"/>
        <w:rPr>
          <w:sz w:val="24"/>
          <w:szCs w:val="24"/>
        </w:rPr>
      </w:pPr>
      <w:r w:rsidRPr="0023171A">
        <w:rPr>
          <w:sz w:val="24"/>
          <w:szCs w:val="24"/>
        </w:rPr>
        <w:t xml:space="preserve">Mediante un monitor Doppler esofágico, técnica mínimamente invasiva, los profesionales pudieron comprobar cómo gracias al uso de </w:t>
      </w:r>
      <w:proofErr w:type="spellStart"/>
      <w:r w:rsidRPr="0023171A">
        <w:rPr>
          <w:sz w:val="24"/>
          <w:szCs w:val="24"/>
        </w:rPr>
        <w:t>pimobendán</w:t>
      </w:r>
      <w:proofErr w:type="spellEnd"/>
      <w:r w:rsidRPr="0023171A">
        <w:rPr>
          <w:sz w:val="24"/>
          <w:szCs w:val="24"/>
        </w:rPr>
        <w:t xml:space="preserve">, tras la premedicación con </w:t>
      </w:r>
      <w:proofErr w:type="spellStart"/>
      <w:r w:rsidRPr="0023171A">
        <w:rPr>
          <w:sz w:val="24"/>
          <w:szCs w:val="24"/>
        </w:rPr>
        <w:t>dexmedetomidina</w:t>
      </w:r>
      <w:proofErr w:type="spellEnd"/>
      <w:r w:rsidRPr="0023171A">
        <w:rPr>
          <w:sz w:val="24"/>
          <w:szCs w:val="24"/>
        </w:rPr>
        <w:t xml:space="preserve"> y metadona, mejoraban los parámetros de la función cardiaca gracias al aumento del flujo sistólico y la contractilidad. Los efectos hemodinámicos aparecieron desde el primer minuto tras la administración y continuaron durante al menos 20 min. </w:t>
      </w:r>
    </w:p>
    <w:p w14:paraId="28E0DC3B" w14:textId="77777777" w:rsidR="00EE6F6B" w:rsidRPr="0023171A" w:rsidRDefault="00EE6F6B" w:rsidP="00EE6F6B">
      <w:pPr>
        <w:rPr>
          <w:b/>
          <w:bCs/>
          <w:sz w:val="24"/>
          <w:szCs w:val="24"/>
        </w:rPr>
      </w:pPr>
      <w:r w:rsidRPr="0023171A">
        <w:rPr>
          <w:b/>
          <w:bCs/>
          <w:sz w:val="24"/>
          <w:szCs w:val="24"/>
        </w:rPr>
        <w:t>Un hallazgo clave para pacientes de edad avanzada</w:t>
      </w:r>
    </w:p>
    <w:p w14:paraId="556D9255" w14:textId="77777777" w:rsidR="00EE6F6B" w:rsidRPr="0023171A" w:rsidRDefault="00EE6F6B" w:rsidP="00EE6F6B">
      <w:pPr>
        <w:jc w:val="both"/>
        <w:rPr>
          <w:sz w:val="24"/>
          <w:szCs w:val="24"/>
        </w:rPr>
      </w:pPr>
      <w:r w:rsidRPr="0023171A">
        <w:rPr>
          <w:sz w:val="24"/>
          <w:szCs w:val="24"/>
        </w:rPr>
        <w:lastRenderedPageBreak/>
        <w:t>En pacientes sanos de edad avanzada, la morbilidad anestésica aumenta debido a la disminución de su reserva orgánica. En caso de intervención quirúrgica, esa disminución dificulta su respuesta ante una mayor demanda</w:t>
      </w:r>
      <w:r w:rsidRPr="0023171A">
        <w:rPr>
          <w:sz w:val="24"/>
          <w:szCs w:val="24"/>
          <w:vertAlign w:val="superscript"/>
        </w:rPr>
        <w:t>3</w:t>
      </w:r>
      <w:r w:rsidRPr="0023171A">
        <w:rPr>
          <w:sz w:val="24"/>
          <w:szCs w:val="24"/>
        </w:rPr>
        <w:t xml:space="preserve">. </w:t>
      </w:r>
    </w:p>
    <w:p w14:paraId="6793AAFB" w14:textId="77777777" w:rsidR="00EE6F6B" w:rsidRPr="0023171A" w:rsidRDefault="00EE6F6B" w:rsidP="00EE6F6B">
      <w:pPr>
        <w:jc w:val="both"/>
        <w:rPr>
          <w:sz w:val="24"/>
          <w:szCs w:val="24"/>
        </w:rPr>
      </w:pPr>
      <w:r w:rsidRPr="0023171A">
        <w:rPr>
          <w:sz w:val="24"/>
          <w:szCs w:val="24"/>
        </w:rPr>
        <w:t>Además, prácticamente todos los fármacos anestésicos provocan alteraciones hemodinámicas, tales como el descenso del gasto cardíaco, de la presión arterial y de la perfusión tisular, que pueden conllevar consecuencias potencialmente mortales</w:t>
      </w:r>
      <w:r w:rsidRPr="0023171A">
        <w:rPr>
          <w:rStyle w:val="Refdenotaalfinal"/>
          <w:sz w:val="24"/>
          <w:szCs w:val="24"/>
        </w:rPr>
        <w:endnoteReference w:id="5"/>
      </w:r>
      <w:r w:rsidRPr="0023171A">
        <w:rPr>
          <w:sz w:val="24"/>
          <w:szCs w:val="24"/>
          <w:vertAlign w:val="superscript"/>
        </w:rPr>
        <w:t>,</w:t>
      </w:r>
      <w:r w:rsidRPr="0023171A">
        <w:rPr>
          <w:rStyle w:val="Refdenotaalfinal"/>
          <w:sz w:val="24"/>
          <w:szCs w:val="24"/>
        </w:rPr>
        <w:endnoteReference w:id="6"/>
      </w:r>
      <w:r w:rsidRPr="0023171A">
        <w:rPr>
          <w:sz w:val="24"/>
          <w:szCs w:val="24"/>
          <w:vertAlign w:val="superscript"/>
        </w:rPr>
        <w:t>,</w:t>
      </w:r>
      <w:r w:rsidRPr="0023171A">
        <w:rPr>
          <w:rStyle w:val="Refdenotaalfinal"/>
          <w:sz w:val="24"/>
          <w:szCs w:val="24"/>
        </w:rPr>
        <w:endnoteReference w:id="7"/>
      </w:r>
      <w:r w:rsidRPr="0023171A">
        <w:rPr>
          <w:sz w:val="24"/>
          <w:szCs w:val="24"/>
        </w:rPr>
        <w:t>. Asimismo, en las enfermedades inflamatorias e infecciosas graves, que son las que a menudo llevan a los perros sénior al quirófano, la función contráctil del miocardio también puede verse reducida</w:t>
      </w:r>
      <w:r w:rsidRPr="0023171A">
        <w:rPr>
          <w:rStyle w:val="Refdenotaalfinal"/>
          <w:sz w:val="24"/>
          <w:szCs w:val="24"/>
        </w:rPr>
        <w:endnoteReference w:id="8"/>
      </w:r>
      <w:r w:rsidRPr="0023171A">
        <w:rPr>
          <w:sz w:val="24"/>
          <w:szCs w:val="24"/>
        </w:rPr>
        <w:t>.</w:t>
      </w:r>
    </w:p>
    <w:p w14:paraId="271352CD" w14:textId="77777777" w:rsidR="00EE6F6B" w:rsidRPr="0023171A" w:rsidRDefault="00EE6F6B" w:rsidP="00EE6F6B">
      <w:pPr>
        <w:jc w:val="both"/>
        <w:rPr>
          <w:sz w:val="24"/>
          <w:szCs w:val="24"/>
        </w:rPr>
      </w:pPr>
      <w:r w:rsidRPr="0023171A">
        <w:rPr>
          <w:sz w:val="24"/>
          <w:szCs w:val="24"/>
        </w:rPr>
        <w:t>Los fármacos inotrópicos y vasopresores, como la dobutamina, la dopamina o la noradrenalina se utilizan habitualmente para mejorar el gasto cardiaco y corregir así estos desequilibrios. Sin embargo, la administración de estos fármacos tiene algunos riesgos potenciales como arritmias cardiacas y fluctuaciones graves de la presión arterial</w:t>
      </w:r>
      <w:r w:rsidRPr="0023171A">
        <w:rPr>
          <w:rStyle w:val="Refdenotaalfinal"/>
          <w:sz w:val="24"/>
          <w:szCs w:val="24"/>
        </w:rPr>
        <w:endnoteReference w:id="9"/>
      </w:r>
      <w:r w:rsidRPr="0023171A">
        <w:rPr>
          <w:sz w:val="24"/>
          <w:szCs w:val="24"/>
          <w:vertAlign w:val="superscript"/>
        </w:rPr>
        <w:t>,</w:t>
      </w:r>
      <w:r w:rsidRPr="0023171A">
        <w:rPr>
          <w:rStyle w:val="Refdenotaalfinal"/>
          <w:sz w:val="24"/>
          <w:szCs w:val="24"/>
        </w:rPr>
        <w:endnoteReference w:id="10"/>
      </w:r>
      <w:r w:rsidRPr="0023171A">
        <w:rPr>
          <w:sz w:val="24"/>
          <w:szCs w:val="24"/>
        </w:rPr>
        <w:t>.</w:t>
      </w:r>
    </w:p>
    <w:p w14:paraId="2B5C405D" w14:textId="77777777" w:rsidR="00EE6F6B" w:rsidRPr="0023171A" w:rsidRDefault="00EE6F6B" w:rsidP="00EE6F6B">
      <w:pPr>
        <w:jc w:val="both"/>
        <w:rPr>
          <w:sz w:val="24"/>
          <w:szCs w:val="24"/>
        </w:rPr>
      </w:pPr>
      <w:r w:rsidRPr="0023171A">
        <w:rPr>
          <w:sz w:val="24"/>
          <w:szCs w:val="24"/>
        </w:rPr>
        <w:t xml:space="preserve">Por su parte, el </w:t>
      </w:r>
      <w:proofErr w:type="spellStart"/>
      <w:r w:rsidRPr="0023171A">
        <w:rPr>
          <w:sz w:val="24"/>
          <w:szCs w:val="24"/>
        </w:rPr>
        <w:t>pimobendán</w:t>
      </w:r>
      <w:proofErr w:type="spellEnd"/>
      <w:r w:rsidRPr="0023171A">
        <w:rPr>
          <w:sz w:val="24"/>
          <w:szCs w:val="24"/>
        </w:rPr>
        <w:t>, gracias a sus efectos sobre el sistema cardiovascular, es un pilar en el tratamiento de las fases preclínicas y clínicas de la valvulopatía mitral y la cardiomiopatía dilatada en perros, así como en la reducción de la morbilidad en animales con cardiopatías crónicas</w:t>
      </w:r>
      <w:r w:rsidRPr="0023171A">
        <w:rPr>
          <w:rStyle w:val="Refdenotaalfinal"/>
          <w:sz w:val="24"/>
          <w:szCs w:val="24"/>
        </w:rPr>
        <w:endnoteReference w:id="11"/>
      </w:r>
      <w:r w:rsidRPr="0023171A">
        <w:rPr>
          <w:sz w:val="24"/>
          <w:szCs w:val="24"/>
          <w:vertAlign w:val="superscript"/>
        </w:rPr>
        <w:t>,</w:t>
      </w:r>
      <w:r w:rsidRPr="0023171A">
        <w:rPr>
          <w:rStyle w:val="Refdenotaalfinal"/>
          <w:sz w:val="24"/>
          <w:szCs w:val="24"/>
        </w:rPr>
        <w:endnoteReference w:id="12"/>
      </w:r>
      <w:r w:rsidRPr="0023171A">
        <w:rPr>
          <w:sz w:val="24"/>
          <w:szCs w:val="24"/>
          <w:vertAlign w:val="superscript"/>
        </w:rPr>
        <w:t>,</w:t>
      </w:r>
      <w:r w:rsidRPr="0023171A">
        <w:rPr>
          <w:rStyle w:val="Refdenotaalfinal"/>
          <w:sz w:val="24"/>
          <w:szCs w:val="24"/>
        </w:rPr>
        <w:endnoteReference w:id="13"/>
      </w:r>
      <w:r w:rsidRPr="0023171A">
        <w:rPr>
          <w:sz w:val="24"/>
          <w:szCs w:val="24"/>
          <w:vertAlign w:val="superscript"/>
        </w:rPr>
        <w:t>,</w:t>
      </w:r>
      <w:r w:rsidRPr="0023171A">
        <w:rPr>
          <w:rStyle w:val="Refdenotaalfinal"/>
          <w:sz w:val="24"/>
          <w:szCs w:val="24"/>
        </w:rPr>
        <w:endnoteReference w:id="14"/>
      </w:r>
      <w:r w:rsidRPr="0023171A">
        <w:rPr>
          <w:sz w:val="24"/>
          <w:szCs w:val="24"/>
        </w:rPr>
        <w:t xml:space="preserve">. Los estudios de laboratorio han analizado cómo la reciente formulación inyectable intravenosa ha mostrado efectos cardiovasculares inmediatos en perros cardiovasculares sin efectos </w:t>
      </w:r>
      <w:proofErr w:type="spellStart"/>
      <w:r w:rsidRPr="0023171A">
        <w:rPr>
          <w:sz w:val="24"/>
          <w:szCs w:val="24"/>
        </w:rPr>
        <w:t>proarritmogénicos</w:t>
      </w:r>
      <w:proofErr w:type="spellEnd"/>
      <w:r w:rsidRPr="0023171A">
        <w:rPr>
          <w:rStyle w:val="Refdenotaalfinal"/>
          <w:sz w:val="24"/>
          <w:szCs w:val="24"/>
        </w:rPr>
        <w:endnoteReference w:id="15"/>
      </w:r>
      <w:r w:rsidRPr="0023171A">
        <w:rPr>
          <w:sz w:val="24"/>
          <w:szCs w:val="24"/>
        </w:rPr>
        <w:t>.</w:t>
      </w:r>
    </w:p>
    <w:p w14:paraId="0D1E0AFA" w14:textId="77777777" w:rsidR="00EE6F6B" w:rsidRPr="0023171A" w:rsidRDefault="00EE6F6B" w:rsidP="00EE6F6B">
      <w:pPr>
        <w:jc w:val="both"/>
        <w:rPr>
          <w:sz w:val="24"/>
          <w:szCs w:val="24"/>
        </w:rPr>
      </w:pPr>
      <w:r w:rsidRPr="0023171A">
        <w:rPr>
          <w:sz w:val="24"/>
          <w:szCs w:val="24"/>
        </w:rPr>
        <w:t xml:space="preserve">Diferentes estudios han demostrado que el aumento de la contractilidad cardiaca que produce el </w:t>
      </w:r>
      <w:proofErr w:type="spellStart"/>
      <w:r w:rsidRPr="0023171A">
        <w:rPr>
          <w:sz w:val="24"/>
          <w:szCs w:val="24"/>
        </w:rPr>
        <w:t>pimobendán</w:t>
      </w:r>
      <w:proofErr w:type="spellEnd"/>
      <w:r w:rsidRPr="0023171A">
        <w:rPr>
          <w:sz w:val="24"/>
          <w:szCs w:val="24"/>
        </w:rPr>
        <w:t xml:space="preserve"> es similar al proporcionado por la dobutamina, pero con una mayor duración del efecto. Este hallazgo, combinado con la ausencia de efectos </w:t>
      </w:r>
      <w:proofErr w:type="spellStart"/>
      <w:r w:rsidRPr="0023171A">
        <w:rPr>
          <w:sz w:val="24"/>
          <w:szCs w:val="24"/>
        </w:rPr>
        <w:t>proarritmogénicos</w:t>
      </w:r>
      <w:proofErr w:type="spellEnd"/>
      <w:r w:rsidRPr="0023171A">
        <w:rPr>
          <w:sz w:val="24"/>
          <w:szCs w:val="24"/>
        </w:rPr>
        <w:t xml:space="preserve">, hace del </w:t>
      </w:r>
      <w:proofErr w:type="spellStart"/>
      <w:r w:rsidRPr="0023171A">
        <w:rPr>
          <w:sz w:val="24"/>
          <w:szCs w:val="24"/>
        </w:rPr>
        <w:t>pimobendán</w:t>
      </w:r>
      <w:proofErr w:type="spellEnd"/>
      <w:r w:rsidRPr="0023171A">
        <w:rPr>
          <w:sz w:val="24"/>
          <w:szCs w:val="24"/>
        </w:rPr>
        <w:t xml:space="preserve"> un fármaco beneficioso para mejorar el gasto cardíaco y lograr una estabilización hemodinámica sostenida en el tiempo</w:t>
      </w:r>
      <w:r w:rsidRPr="0023171A">
        <w:rPr>
          <w:rStyle w:val="Refdenotaalfinal"/>
          <w:sz w:val="24"/>
          <w:szCs w:val="24"/>
        </w:rPr>
        <w:endnoteReference w:id="16"/>
      </w:r>
      <w:r w:rsidRPr="0023171A">
        <w:rPr>
          <w:sz w:val="24"/>
          <w:szCs w:val="24"/>
          <w:vertAlign w:val="superscript"/>
        </w:rPr>
        <w:t>,</w:t>
      </w:r>
      <w:r w:rsidRPr="0023171A">
        <w:rPr>
          <w:rStyle w:val="Refdenotaalfinal"/>
          <w:sz w:val="24"/>
          <w:szCs w:val="24"/>
        </w:rPr>
        <w:endnoteReference w:id="17"/>
      </w:r>
      <w:r w:rsidRPr="0023171A">
        <w:rPr>
          <w:sz w:val="24"/>
          <w:szCs w:val="24"/>
          <w:vertAlign w:val="superscript"/>
        </w:rPr>
        <w:t>,</w:t>
      </w:r>
      <w:r w:rsidRPr="0023171A">
        <w:rPr>
          <w:rStyle w:val="Refdenotaalfinal"/>
          <w:sz w:val="24"/>
          <w:szCs w:val="24"/>
        </w:rPr>
        <w:endnoteReference w:id="18"/>
      </w:r>
      <w:r w:rsidRPr="0023171A">
        <w:rPr>
          <w:sz w:val="24"/>
          <w:szCs w:val="24"/>
          <w:vertAlign w:val="superscript"/>
        </w:rPr>
        <w:t>,</w:t>
      </w:r>
      <w:r w:rsidRPr="0023171A">
        <w:rPr>
          <w:rStyle w:val="Refdenotaalfinal"/>
          <w:sz w:val="24"/>
          <w:szCs w:val="24"/>
        </w:rPr>
        <w:endnoteReference w:id="19"/>
      </w:r>
      <w:r w:rsidRPr="0023171A">
        <w:rPr>
          <w:sz w:val="24"/>
          <w:szCs w:val="24"/>
        </w:rPr>
        <w:t xml:space="preserve">. Un hecho clave para los pacientes de edad avanzada. </w:t>
      </w:r>
    </w:p>
    <w:p w14:paraId="6552A315" w14:textId="77777777" w:rsidR="00EE6F6B" w:rsidRPr="0023171A" w:rsidRDefault="00EE6F6B" w:rsidP="00EE6F6B">
      <w:pPr>
        <w:jc w:val="both"/>
        <w:rPr>
          <w:sz w:val="24"/>
          <w:szCs w:val="24"/>
        </w:rPr>
      </w:pPr>
    </w:p>
    <w:p w14:paraId="5ED8AD87" w14:textId="77777777" w:rsidR="00EE6F6B" w:rsidRPr="0023171A" w:rsidRDefault="00EE6F6B" w:rsidP="0023171A">
      <w:pPr>
        <w:spacing w:after="0"/>
        <w:jc w:val="both"/>
        <w:rPr>
          <w:sz w:val="24"/>
          <w:szCs w:val="24"/>
        </w:rPr>
      </w:pPr>
    </w:p>
    <w:p w14:paraId="39860F60" w14:textId="77777777" w:rsidR="00EE6F6B" w:rsidRPr="0023171A" w:rsidRDefault="00EE6F6B" w:rsidP="00EE6F6B">
      <w:pPr>
        <w:rPr>
          <w:b/>
          <w:bCs/>
          <w:sz w:val="24"/>
          <w:szCs w:val="24"/>
        </w:rPr>
      </w:pPr>
      <w:r w:rsidRPr="0023171A">
        <w:rPr>
          <w:b/>
          <w:bCs/>
          <w:sz w:val="24"/>
          <w:szCs w:val="24"/>
        </w:rPr>
        <w:t>Referencias</w:t>
      </w:r>
    </w:p>
    <w:p w14:paraId="1154754C" w14:textId="77777777" w:rsidR="00EC5506" w:rsidRDefault="00EC5506" w:rsidP="00EE6F6B"/>
    <w:sectPr w:rsidR="00EC5506">
      <w:headerReference w:type="default" r:id="rId1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E4C0" w14:textId="77777777" w:rsidR="00D4077F" w:rsidRDefault="00D4077F" w:rsidP="003D5C04">
      <w:pPr>
        <w:spacing w:after="0" w:line="240" w:lineRule="auto"/>
      </w:pPr>
      <w:r>
        <w:separator/>
      </w:r>
    </w:p>
  </w:endnote>
  <w:endnote w:type="continuationSeparator" w:id="0">
    <w:p w14:paraId="06899F0A" w14:textId="77777777" w:rsidR="00D4077F" w:rsidRDefault="00D4077F" w:rsidP="003D5C04">
      <w:pPr>
        <w:spacing w:after="0" w:line="240" w:lineRule="auto"/>
      </w:pPr>
      <w:r>
        <w:continuationSeparator/>
      </w:r>
    </w:p>
  </w:endnote>
  <w:endnote w:type="continuationNotice" w:id="1">
    <w:p w14:paraId="66BE130B" w14:textId="77777777" w:rsidR="00D4077F" w:rsidRDefault="00D4077F">
      <w:pPr>
        <w:spacing w:after="0" w:line="240" w:lineRule="auto"/>
      </w:pPr>
    </w:p>
  </w:endnote>
  <w:endnote w:id="2">
    <w:p w14:paraId="6708AEF6" w14:textId="77777777" w:rsidR="00EE6F6B" w:rsidRPr="00116A0C" w:rsidRDefault="00EE6F6B" w:rsidP="00EE6F6B">
      <w:pPr>
        <w:pStyle w:val="Textonotaalfinal"/>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Haemodynamic Effects of </w:t>
      </w:r>
      <w:proofErr w:type="spellStart"/>
      <w:r w:rsidRPr="00116A0C">
        <w:rPr>
          <w:rFonts w:cstheme="minorHAnsi"/>
          <w:sz w:val="18"/>
          <w:szCs w:val="18"/>
          <w:lang w:val="en-GB"/>
        </w:rPr>
        <w:t>Pimobendan</w:t>
      </w:r>
      <w:proofErr w:type="spellEnd"/>
      <w:r w:rsidRPr="00116A0C">
        <w:rPr>
          <w:rFonts w:cstheme="minorHAnsi"/>
          <w:sz w:val="18"/>
          <w:szCs w:val="18"/>
          <w:lang w:val="en-GB"/>
        </w:rPr>
        <w:t xml:space="preserve"> during General Anaesthesia in Healthy Senior Dogs: A Prospective, Randomised, Triple-Blinded, Placebo-Controlled Clinical Study. Animals </w:t>
      </w:r>
      <w:r w:rsidRPr="00116A0C">
        <w:rPr>
          <w:rFonts w:cstheme="minorHAnsi"/>
          <w:b/>
          <w:bCs/>
          <w:sz w:val="18"/>
          <w:szCs w:val="18"/>
          <w:lang w:val="en-GB"/>
        </w:rPr>
        <w:t>2023</w:t>
      </w:r>
      <w:r w:rsidRPr="00116A0C">
        <w:rPr>
          <w:rFonts w:cstheme="minorHAnsi"/>
          <w:sz w:val="18"/>
          <w:szCs w:val="18"/>
          <w:lang w:val="en-GB"/>
        </w:rPr>
        <w:t xml:space="preserve">, 13, 2110. </w:t>
      </w:r>
      <w:hyperlink r:id="rId1" w:history="1">
        <w:r w:rsidRPr="00116A0C">
          <w:rPr>
            <w:rStyle w:val="Hipervnculo"/>
            <w:rFonts w:cstheme="minorHAnsi"/>
            <w:sz w:val="18"/>
            <w:szCs w:val="18"/>
            <w:lang w:val="en-GB"/>
          </w:rPr>
          <w:t>https://doi.org/10.3390/ani13132110</w:t>
        </w:r>
      </w:hyperlink>
    </w:p>
  </w:endnote>
  <w:endnote w:id="3">
    <w:p w14:paraId="532D1272"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proofErr w:type="spellStart"/>
      <w:r w:rsidRPr="00116A0C">
        <w:rPr>
          <w:rFonts w:cstheme="minorHAnsi"/>
          <w:sz w:val="18"/>
          <w:szCs w:val="18"/>
          <w:lang w:val="en-GB"/>
        </w:rPr>
        <w:t>Baetge</w:t>
      </w:r>
      <w:proofErr w:type="spellEnd"/>
      <w:r w:rsidRPr="00116A0C">
        <w:rPr>
          <w:rFonts w:cstheme="minorHAnsi"/>
          <w:sz w:val="18"/>
          <w:szCs w:val="18"/>
          <w:lang w:val="en-GB"/>
        </w:rPr>
        <w:t xml:space="preserve">, C.L.; Matthews, N.S. </w:t>
      </w:r>
      <w:proofErr w:type="spellStart"/>
      <w:r w:rsidRPr="00116A0C">
        <w:rPr>
          <w:rFonts w:cstheme="minorHAnsi"/>
          <w:sz w:val="18"/>
          <w:szCs w:val="18"/>
          <w:lang w:val="en-GB"/>
        </w:rPr>
        <w:t>Anesthesia</w:t>
      </w:r>
      <w:proofErr w:type="spellEnd"/>
      <w:r w:rsidRPr="00116A0C">
        <w:rPr>
          <w:rFonts w:cstheme="minorHAnsi"/>
          <w:sz w:val="18"/>
          <w:szCs w:val="18"/>
          <w:lang w:val="en-GB"/>
        </w:rPr>
        <w:t xml:space="preserve"> and analgesia for geriatric veterinary patients. Vet. Clin. N. Am. Small Anim. </w:t>
      </w:r>
      <w:proofErr w:type="spellStart"/>
      <w:r w:rsidRPr="00116A0C">
        <w:rPr>
          <w:rFonts w:cstheme="minorHAnsi"/>
          <w:sz w:val="18"/>
          <w:szCs w:val="18"/>
          <w:lang w:val="en-GB"/>
        </w:rPr>
        <w:t>Pract</w:t>
      </w:r>
      <w:proofErr w:type="spellEnd"/>
      <w:r w:rsidRPr="00116A0C">
        <w:rPr>
          <w:rFonts w:cstheme="minorHAnsi"/>
          <w:sz w:val="18"/>
          <w:szCs w:val="18"/>
          <w:lang w:val="en-GB"/>
        </w:rPr>
        <w:t>.</w:t>
      </w:r>
    </w:p>
    <w:p w14:paraId="03297BA8" w14:textId="77777777" w:rsidR="00EE6F6B" w:rsidRPr="00116A0C" w:rsidRDefault="00EE6F6B" w:rsidP="00EE6F6B">
      <w:pPr>
        <w:pStyle w:val="Textonotaalfinal"/>
        <w:jc w:val="both"/>
        <w:rPr>
          <w:rFonts w:cstheme="minorHAnsi"/>
          <w:sz w:val="18"/>
          <w:szCs w:val="18"/>
          <w:lang w:val="en-GB"/>
        </w:rPr>
      </w:pPr>
      <w:r w:rsidRPr="00116A0C">
        <w:rPr>
          <w:rFonts w:cstheme="minorHAnsi"/>
          <w:b/>
          <w:bCs/>
          <w:sz w:val="18"/>
          <w:szCs w:val="18"/>
          <w:lang w:val="en-GB"/>
        </w:rPr>
        <w:t>2012</w:t>
      </w:r>
      <w:r w:rsidRPr="00116A0C">
        <w:rPr>
          <w:rFonts w:cstheme="minorHAnsi"/>
          <w:sz w:val="18"/>
          <w:szCs w:val="18"/>
          <w:lang w:val="en-GB"/>
        </w:rPr>
        <w:t>, 42, 643–653.</w:t>
      </w:r>
    </w:p>
  </w:endnote>
  <w:endnote w:id="4">
    <w:p w14:paraId="69798025" w14:textId="77777777" w:rsidR="00EE6F6B" w:rsidRPr="0023171A" w:rsidRDefault="00EE6F6B" w:rsidP="00EE6F6B">
      <w:pPr>
        <w:pStyle w:val="Textonotaalfinal"/>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Hughes, J. Anaesthesia for the geriatric dog and cat. </w:t>
      </w:r>
      <w:r w:rsidRPr="0023171A">
        <w:rPr>
          <w:rFonts w:cstheme="minorHAnsi"/>
          <w:sz w:val="18"/>
          <w:szCs w:val="18"/>
          <w:lang w:val="en-GB"/>
        </w:rPr>
        <w:t xml:space="preserve">Ir. Vet. J. </w:t>
      </w:r>
      <w:r w:rsidRPr="0023171A">
        <w:rPr>
          <w:rFonts w:cstheme="minorHAnsi"/>
          <w:b/>
          <w:bCs/>
          <w:sz w:val="18"/>
          <w:szCs w:val="18"/>
          <w:lang w:val="en-GB"/>
        </w:rPr>
        <w:t>2008</w:t>
      </w:r>
      <w:r w:rsidRPr="0023171A">
        <w:rPr>
          <w:rFonts w:cstheme="minorHAnsi"/>
          <w:sz w:val="18"/>
          <w:szCs w:val="18"/>
          <w:lang w:val="en-GB"/>
        </w:rPr>
        <w:t xml:space="preserve">, 61, 380–387. </w:t>
      </w:r>
    </w:p>
  </w:endnote>
  <w:endnote w:id="5">
    <w:p w14:paraId="7535FA69"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Gaynor, J.S.; Dunlop, C.I.; Wagner, A.E.; Wertz, E.M.; Golden, A.E.; Demme, W.C. Complications and mortality associated with </w:t>
      </w:r>
      <w:proofErr w:type="spellStart"/>
      <w:r w:rsidRPr="00116A0C">
        <w:rPr>
          <w:rFonts w:cstheme="minorHAnsi"/>
          <w:color w:val="000000"/>
          <w:sz w:val="18"/>
          <w:szCs w:val="18"/>
          <w:lang w:val="en-GB"/>
        </w:rPr>
        <w:t>anesthesia</w:t>
      </w:r>
      <w:proofErr w:type="spellEnd"/>
      <w:r w:rsidRPr="00116A0C">
        <w:rPr>
          <w:rFonts w:cstheme="minorHAnsi"/>
          <w:color w:val="000000"/>
          <w:sz w:val="18"/>
          <w:szCs w:val="18"/>
          <w:lang w:val="en-GB"/>
        </w:rPr>
        <w:t xml:space="preserve"> in dogs and cats. J. Am. Anim. Hosp. Assoc. </w:t>
      </w:r>
      <w:r w:rsidRPr="00116A0C">
        <w:rPr>
          <w:rFonts w:cstheme="minorHAnsi"/>
          <w:b/>
          <w:bCs/>
          <w:color w:val="000000"/>
          <w:sz w:val="18"/>
          <w:szCs w:val="18"/>
          <w:lang w:val="en-GB"/>
        </w:rPr>
        <w:t>1999</w:t>
      </w:r>
      <w:r w:rsidRPr="00116A0C">
        <w:rPr>
          <w:rFonts w:cstheme="minorHAnsi"/>
          <w:color w:val="000000"/>
          <w:sz w:val="18"/>
          <w:szCs w:val="18"/>
          <w:lang w:val="en-GB"/>
        </w:rPr>
        <w:t xml:space="preserve">, 35, 13–17. </w:t>
      </w:r>
    </w:p>
  </w:endnote>
  <w:endnote w:id="6">
    <w:p w14:paraId="32D47F5D"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color w:val="000000"/>
          <w:sz w:val="18"/>
          <w:szCs w:val="18"/>
          <w:lang w:val="en-GB"/>
        </w:rPr>
        <w:t xml:space="preserve"> Mazzaferro, </w:t>
      </w:r>
      <w:proofErr w:type="spellStart"/>
      <w:r w:rsidRPr="00116A0C">
        <w:rPr>
          <w:rFonts w:cstheme="minorHAnsi"/>
          <w:color w:val="000000"/>
          <w:sz w:val="18"/>
          <w:szCs w:val="18"/>
          <w:lang w:val="en-GB"/>
        </w:rPr>
        <w:t>E.;Wagner</w:t>
      </w:r>
      <w:proofErr w:type="spellEnd"/>
      <w:r w:rsidRPr="00116A0C">
        <w:rPr>
          <w:rFonts w:cstheme="minorHAnsi"/>
          <w:color w:val="000000"/>
          <w:sz w:val="18"/>
          <w:szCs w:val="18"/>
          <w:lang w:val="en-GB"/>
        </w:rPr>
        <w:t xml:space="preserve">, A.E. Hypotension During </w:t>
      </w:r>
      <w:proofErr w:type="spellStart"/>
      <w:r w:rsidRPr="00116A0C">
        <w:rPr>
          <w:rFonts w:cstheme="minorHAnsi"/>
          <w:color w:val="000000"/>
          <w:sz w:val="18"/>
          <w:szCs w:val="18"/>
          <w:lang w:val="en-GB"/>
        </w:rPr>
        <w:t>Anesthesia</w:t>
      </w:r>
      <w:proofErr w:type="spellEnd"/>
      <w:r w:rsidRPr="00116A0C">
        <w:rPr>
          <w:rFonts w:cstheme="minorHAnsi"/>
          <w:color w:val="000000"/>
          <w:sz w:val="18"/>
          <w:szCs w:val="18"/>
          <w:lang w:val="en-GB"/>
        </w:rPr>
        <w:t xml:space="preserve"> in Dogs and Cats: Recognition, Causes, and Treatment. Compendium </w:t>
      </w:r>
      <w:r w:rsidRPr="00116A0C">
        <w:rPr>
          <w:rFonts w:cstheme="minorHAnsi"/>
          <w:b/>
          <w:bCs/>
          <w:color w:val="000000"/>
          <w:sz w:val="18"/>
          <w:szCs w:val="18"/>
          <w:lang w:val="en-GB"/>
        </w:rPr>
        <w:t>2005</w:t>
      </w:r>
      <w:r w:rsidRPr="00116A0C">
        <w:rPr>
          <w:rFonts w:cstheme="minorHAnsi"/>
          <w:color w:val="000000"/>
          <w:sz w:val="18"/>
          <w:szCs w:val="18"/>
          <w:lang w:val="en-GB"/>
        </w:rPr>
        <w:t>, 23, 728–737.</w:t>
      </w:r>
    </w:p>
  </w:endnote>
  <w:endnote w:id="7">
    <w:p w14:paraId="1D26D7F2" w14:textId="77777777" w:rsidR="00EE6F6B" w:rsidRPr="00116A0C" w:rsidRDefault="00EE6F6B" w:rsidP="00EE6F6B">
      <w:pPr>
        <w:pStyle w:val="Textonotaalfinal"/>
        <w:jc w:val="both"/>
        <w:rPr>
          <w:rFonts w:cstheme="minorHAnsi"/>
          <w:sz w:val="18"/>
          <w:szCs w:val="18"/>
          <w:lang w:val="en-GB"/>
        </w:rPr>
      </w:pPr>
      <w:r w:rsidRPr="00116A0C">
        <w:rPr>
          <w:rStyle w:val="Refdenotaalfinal"/>
          <w:rFonts w:cstheme="minorHAnsi"/>
          <w:sz w:val="18"/>
          <w:szCs w:val="18"/>
        </w:rPr>
        <w:endnoteRef/>
      </w:r>
      <w:r w:rsidRPr="00116A0C">
        <w:rPr>
          <w:rFonts w:cstheme="minorHAnsi"/>
          <w:color w:val="000000"/>
          <w:sz w:val="18"/>
          <w:szCs w:val="18"/>
          <w:lang w:val="en-GB"/>
        </w:rPr>
        <w:t xml:space="preserve"> Redondo, J.I.; Rubio, M.; Soler, G.; Serra, I.; Soler, C.; Gómez-</w:t>
      </w:r>
      <w:proofErr w:type="spellStart"/>
      <w:r w:rsidRPr="00116A0C">
        <w:rPr>
          <w:rFonts w:cstheme="minorHAnsi"/>
          <w:color w:val="000000"/>
          <w:sz w:val="18"/>
          <w:szCs w:val="18"/>
          <w:lang w:val="en-GB"/>
        </w:rPr>
        <w:t>Villamandos</w:t>
      </w:r>
      <w:proofErr w:type="spellEnd"/>
      <w:r w:rsidRPr="00116A0C">
        <w:rPr>
          <w:rFonts w:cstheme="minorHAnsi"/>
          <w:color w:val="000000"/>
          <w:sz w:val="18"/>
          <w:szCs w:val="18"/>
          <w:lang w:val="en-GB"/>
        </w:rPr>
        <w:t>, R.J. Normal Values and Incidence of Cardiorespiratory</w:t>
      </w:r>
    </w:p>
  </w:endnote>
  <w:endnote w:id="8">
    <w:p w14:paraId="76372B7D"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Corda, A.; </w:t>
      </w:r>
      <w:proofErr w:type="spellStart"/>
      <w:r w:rsidRPr="00116A0C">
        <w:rPr>
          <w:rFonts w:cstheme="minorHAnsi"/>
          <w:color w:val="000000"/>
          <w:sz w:val="18"/>
          <w:szCs w:val="18"/>
          <w:lang w:val="en-GB"/>
        </w:rPr>
        <w:t>Parpaglia</w:t>
      </w:r>
      <w:proofErr w:type="spellEnd"/>
      <w:r w:rsidRPr="00116A0C">
        <w:rPr>
          <w:rFonts w:cstheme="minorHAnsi"/>
          <w:color w:val="000000"/>
          <w:sz w:val="18"/>
          <w:szCs w:val="18"/>
          <w:lang w:val="en-GB"/>
        </w:rPr>
        <w:t xml:space="preserve">, M.L.P.; </w:t>
      </w:r>
      <w:proofErr w:type="spellStart"/>
      <w:r w:rsidRPr="00116A0C">
        <w:rPr>
          <w:rFonts w:cstheme="minorHAnsi"/>
          <w:color w:val="000000"/>
          <w:sz w:val="18"/>
          <w:szCs w:val="18"/>
          <w:lang w:val="en-GB"/>
        </w:rPr>
        <w:t>Sotgiu</w:t>
      </w:r>
      <w:proofErr w:type="spellEnd"/>
      <w:r w:rsidRPr="00116A0C">
        <w:rPr>
          <w:rFonts w:cstheme="minorHAnsi"/>
          <w:color w:val="000000"/>
          <w:sz w:val="18"/>
          <w:szCs w:val="18"/>
          <w:lang w:val="en-GB"/>
        </w:rPr>
        <w:t xml:space="preserve">, G.; </w:t>
      </w:r>
      <w:proofErr w:type="spellStart"/>
      <w:r w:rsidRPr="00116A0C">
        <w:rPr>
          <w:rFonts w:cstheme="minorHAnsi"/>
          <w:color w:val="000000"/>
          <w:sz w:val="18"/>
          <w:szCs w:val="18"/>
          <w:lang w:val="en-GB"/>
        </w:rPr>
        <w:t>Zobba</w:t>
      </w:r>
      <w:proofErr w:type="spellEnd"/>
      <w:r w:rsidRPr="00116A0C">
        <w:rPr>
          <w:rFonts w:cstheme="minorHAnsi"/>
          <w:color w:val="000000"/>
          <w:sz w:val="18"/>
          <w:szCs w:val="18"/>
          <w:lang w:val="en-GB"/>
        </w:rPr>
        <w:t xml:space="preserve">, R.; Ochoa, P.G.; Ramos, J.P.; French, A. Use of 2-dimensional speckle-tracking echocardiography to assess left ventricular systolic function in dogs with systemic inflammatory response syndrome. J. Vet. Intern. Med. </w:t>
      </w:r>
      <w:r w:rsidRPr="00116A0C">
        <w:rPr>
          <w:rFonts w:cstheme="minorHAnsi"/>
          <w:b/>
          <w:bCs/>
          <w:color w:val="000000"/>
          <w:sz w:val="18"/>
          <w:szCs w:val="18"/>
          <w:lang w:val="en-GB"/>
        </w:rPr>
        <w:t>2018</w:t>
      </w:r>
      <w:r w:rsidRPr="00116A0C">
        <w:rPr>
          <w:rFonts w:cstheme="minorHAnsi"/>
          <w:color w:val="000000"/>
          <w:sz w:val="18"/>
          <w:szCs w:val="18"/>
          <w:lang w:val="en-GB"/>
        </w:rPr>
        <w:t xml:space="preserve">, 33, 423–431. </w:t>
      </w:r>
    </w:p>
  </w:endnote>
  <w:endnote w:id="9">
    <w:p w14:paraId="3D8C4CAD"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Tisdale, J.E.; Patel, </w:t>
      </w:r>
      <w:proofErr w:type="spellStart"/>
      <w:r w:rsidRPr="00116A0C">
        <w:rPr>
          <w:rFonts w:cstheme="minorHAnsi"/>
          <w:color w:val="000000"/>
          <w:sz w:val="18"/>
          <w:szCs w:val="18"/>
          <w:lang w:val="en-GB"/>
        </w:rPr>
        <w:t>R.V.;Webb</w:t>
      </w:r>
      <w:proofErr w:type="spellEnd"/>
      <w:r w:rsidRPr="00116A0C">
        <w:rPr>
          <w:rFonts w:cstheme="minorHAnsi"/>
          <w:color w:val="000000"/>
          <w:sz w:val="18"/>
          <w:szCs w:val="18"/>
          <w:lang w:val="en-GB"/>
        </w:rPr>
        <w:t xml:space="preserve">, C.R.; </w:t>
      </w:r>
      <w:proofErr w:type="spellStart"/>
      <w:r w:rsidRPr="00116A0C">
        <w:rPr>
          <w:rFonts w:cstheme="minorHAnsi"/>
          <w:color w:val="000000"/>
          <w:sz w:val="18"/>
          <w:szCs w:val="18"/>
          <w:lang w:val="en-GB"/>
        </w:rPr>
        <w:t>Borzak</w:t>
      </w:r>
      <w:proofErr w:type="spellEnd"/>
      <w:r w:rsidRPr="00116A0C">
        <w:rPr>
          <w:rFonts w:cstheme="minorHAnsi"/>
          <w:color w:val="000000"/>
          <w:sz w:val="18"/>
          <w:szCs w:val="18"/>
          <w:lang w:val="en-GB"/>
        </w:rPr>
        <w:t xml:space="preserve">, S.; </w:t>
      </w:r>
      <w:proofErr w:type="spellStart"/>
      <w:r w:rsidRPr="00116A0C">
        <w:rPr>
          <w:rFonts w:cstheme="minorHAnsi"/>
          <w:color w:val="000000"/>
          <w:sz w:val="18"/>
          <w:szCs w:val="18"/>
          <w:lang w:val="en-GB"/>
        </w:rPr>
        <w:t>Zarowitz</w:t>
      </w:r>
      <w:proofErr w:type="spellEnd"/>
      <w:r w:rsidRPr="00116A0C">
        <w:rPr>
          <w:rFonts w:cstheme="minorHAnsi"/>
          <w:color w:val="000000"/>
          <w:sz w:val="18"/>
          <w:szCs w:val="18"/>
          <w:lang w:val="en-GB"/>
        </w:rPr>
        <w:t xml:space="preserve">, B.J. Proarrhythmic Effects of Intravenous Vasopressors. Ann. </w:t>
      </w:r>
      <w:proofErr w:type="spellStart"/>
      <w:r w:rsidRPr="00116A0C">
        <w:rPr>
          <w:rFonts w:cstheme="minorHAnsi"/>
          <w:color w:val="000000"/>
          <w:sz w:val="18"/>
          <w:szCs w:val="18"/>
          <w:lang w:val="en-GB"/>
        </w:rPr>
        <w:t>Pharmacother</w:t>
      </w:r>
      <w:proofErr w:type="spellEnd"/>
      <w:r w:rsidRPr="00116A0C">
        <w:rPr>
          <w:rFonts w:cstheme="minorHAnsi"/>
          <w:color w:val="000000"/>
          <w:sz w:val="18"/>
          <w:szCs w:val="18"/>
          <w:lang w:val="en-GB"/>
        </w:rPr>
        <w:t xml:space="preserve">. </w:t>
      </w:r>
      <w:r w:rsidRPr="00116A0C">
        <w:rPr>
          <w:rFonts w:cstheme="minorHAnsi"/>
          <w:b/>
          <w:bCs/>
          <w:color w:val="000000"/>
          <w:sz w:val="18"/>
          <w:szCs w:val="18"/>
          <w:lang w:val="en-GB"/>
        </w:rPr>
        <w:t>1995</w:t>
      </w:r>
      <w:r w:rsidRPr="00116A0C">
        <w:rPr>
          <w:rFonts w:cstheme="minorHAnsi"/>
          <w:color w:val="000000"/>
          <w:sz w:val="18"/>
          <w:szCs w:val="18"/>
          <w:lang w:val="en-GB"/>
        </w:rPr>
        <w:t xml:space="preserve">, 29, 269–281. </w:t>
      </w:r>
    </w:p>
  </w:endnote>
  <w:endnote w:id="10">
    <w:p w14:paraId="4A6662D6"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Dyson, D.H.; Sinclair, M.D. Impact of dopamine or dobutamine infusions on cardiovascular variables after rapid blood loss and volume replacement during isoflurane-induced </w:t>
      </w:r>
      <w:proofErr w:type="spellStart"/>
      <w:r w:rsidRPr="00116A0C">
        <w:rPr>
          <w:rFonts w:cstheme="minorHAnsi"/>
          <w:color w:val="000000"/>
          <w:sz w:val="18"/>
          <w:szCs w:val="18"/>
          <w:lang w:val="en-GB"/>
        </w:rPr>
        <w:t>anesthesia</w:t>
      </w:r>
      <w:proofErr w:type="spellEnd"/>
      <w:r w:rsidRPr="00116A0C">
        <w:rPr>
          <w:rFonts w:cstheme="minorHAnsi"/>
          <w:color w:val="000000"/>
          <w:sz w:val="18"/>
          <w:szCs w:val="18"/>
          <w:lang w:val="en-GB"/>
        </w:rPr>
        <w:t xml:space="preserve"> in dogs. Am. J. Vet. Res. </w:t>
      </w:r>
      <w:r w:rsidRPr="00116A0C">
        <w:rPr>
          <w:rFonts w:cstheme="minorHAnsi"/>
          <w:b/>
          <w:bCs/>
          <w:color w:val="000000"/>
          <w:sz w:val="18"/>
          <w:szCs w:val="18"/>
          <w:lang w:val="en-GB"/>
        </w:rPr>
        <w:t>2006</w:t>
      </w:r>
      <w:r w:rsidRPr="00116A0C">
        <w:rPr>
          <w:rFonts w:cstheme="minorHAnsi"/>
          <w:color w:val="000000"/>
          <w:sz w:val="18"/>
          <w:szCs w:val="18"/>
          <w:lang w:val="en-GB"/>
        </w:rPr>
        <w:t>, 67, 1121–1130.</w:t>
      </w:r>
    </w:p>
  </w:endnote>
  <w:endnote w:id="11">
    <w:p w14:paraId="54EA8B5A"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Yokota, S.; Takizawa, M.; Katsumura, H.; </w:t>
      </w:r>
      <w:proofErr w:type="spellStart"/>
      <w:r w:rsidRPr="00116A0C">
        <w:rPr>
          <w:rFonts w:cstheme="minorHAnsi"/>
          <w:color w:val="000000"/>
          <w:sz w:val="18"/>
          <w:szCs w:val="18"/>
          <w:lang w:val="en-GB"/>
        </w:rPr>
        <w:t>Shukunobe</w:t>
      </w:r>
      <w:proofErr w:type="spellEnd"/>
      <w:r w:rsidRPr="00116A0C">
        <w:rPr>
          <w:rFonts w:cstheme="minorHAnsi"/>
          <w:color w:val="000000"/>
          <w:sz w:val="18"/>
          <w:szCs w:val="18"/>
          <w:lang w:val="en-GB"/>
        </w:rPr>
        <w:t xml:space="preserve">, K.; Ishiguro, Y.; Kitagawa, H.; Ohara, N. Pharmacological studies of a novel cardiotonic agent,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(UD-CG 115 BS). </w:t>
      </w:r>
      <w:proofErr w:type="spellStart"/>
      <w:r w:rsidRPr="00116A0C">
        <w:rPr>
          <w:rFonts w:cstheme="minorHAnsi"/>
          <w:color w:val="000000"/>
          <w:sz w:val="18"/>
          <w:szCs w:val="18"/>
          <w:lang w:val="en-GB"/>
        </w:rPr>
        <w:t>Jpn</w:t>
      </w:r>
      <w:proofErr w:type="spellEnd"/>
      <w:r w:rsidRPr="00116A0C">
        <w:rPr>
          <w:rFonts w:cstheme="minorHAnsi"/>
          <w:color w:val="000000"/>
          <w:sz w:val="18"/>
          <w:szCs w:val="18"/>
          <w:lang w:val="en-GB"/>
        </w:rPr>
        <w:t xml:space="preserve">. </w:t>
      </w:r>
      <w:proofErr w:type="spellStart"/>
      <w:r w:rsidRPr="00116A0C">
        <w:rPr>
          <w:rFonts w:cstheme="minorHAnsi"/>
          <w:color w:val="000000"/>
          <w:sz w:val="18"/>
          <w:szCs w:val="18"/>
          <w:lang w:val="en-GB"/>
        </w:rPr>
        <w:t>Pharmacol</w:t>
      </w:r>
      <w:proofErr w:type="spellEnd"/>
      <w:r w:rsidRPr="00116A0C">
        <w:rPr>
          <w:rFonts w:cstheme="minorHAnsi"/>
          <w:color w:val="000000"/>
          <w:sz w:val="18"/>
          <w:szCs w:val="18"/>
          <w:lang w:val="en-GB"/>
        </w:rPr>
        <w:t xml:space="preserve">. Ther. </w:t>
      </w:r>
      <w:r w:rsidRPr="00116A0C">
        <w:rPr>
          <w:rFonts w:cstheme="minorHAnsi"/>
          <w:b/>
          <w:bCs/>
          <w:color w:val="000000"/>
          <w:sz w:val="18"/>
          <w:szCs w:val="18"/>
          <w:lang w:val="en-GB"/>
        </w:rPr>
        <w:t>1992</w:t>
      </w:r>
      <w:r w:rsidRPr="00116A0C">
        <w:rPr>
          <w:rFonts w:cstheme="minorHAnsi"/>
          <w:color w:val="000000"/>
          <w:sz w:val="18"/>
          <w:szCs w:val="18"/>
          <w:lang w:val="en-GB"/>
        </w:rPr>
        <w:t>, 20, 1143–1174.</w:t>
      </w:r>
    </w:p>
  </w:endnote>
  <w:endnote w:id="12">
    <w:p w14:paraId="44F0CCD8"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proofErr w:type="spellStart"/>
      <w:r w:rsidRPr="00116A0C">
        <w:rPr>
          <w:rFonts w:cstheme="minorHAnsi"/>
          <w:color w:val="000000"/>
          <w:sz w:val="18"/>
          <w:szCs w:val="18"/>
          <w:lang w:val="en-GB"/>
        </w:rPr>
        <w:t>Boswood</w:t>
      </w:r>
      <w:proofErr w:type="spellEnd"/>
      <w:r w:rsidRPr="00116A0C">
        <w:rPr>
          <w:rFonts w:cstheme="minorHAnsi"/>
          <w:color w:val="000000"/>
          <w:sz w:val="18"/>
          <w:szCs w:val="18"/>
          <w:lang w:val="en-GB"/>
        </w:rPr>
        <w:t xml:space="preserve">, A.; Haggstrom, J.; Gordon, </w:t>
      </w:r>
      <w:proofErr w:type="spellStart"/>
      <w:r w:rsidRPr="00116A0C">
        <w:rPr>
          <w:rFonts w:cstheme="minorHAnsi"/>
          <w:color w:val="000000"/>
          <w:sz w:val="18"/>
          <w:szCs w:val="18"/>
          <w:lang w:val="en-GB"/>
        </w:rPr>
        <w:t>S.G.;Wess</w:t>
      </w:r>
      <w:proofErr w:type="spellEnd"/>
      <w:r w:rsidRPr="00116A0C">
        <w:rPr>
          <w:rFonts w:cstheme="minorHAnsi"/>
          <w:color w:val="000000"/>
          <w:sz w:val="18"/>
          <w:szCs w:val="18"/>
          <w:lang w:val="en-GB"/>
        </w:rPr>
        <w:t xml:space="preserve">, G.; Stepien, R.L.; Oyama, M.A.; Keene, B.W.; Bonagura, J.; MacDonald, K.A.; Patteson, M.; et al. Effect of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in Dogs with Preclinical Myxomatous Mitral Valve Disease and Cardiomegaly: The EPIC Study—A Randomized Clinical Trial. J. Vet. Intern. Med. </w:t>
      </w:r>
      <w:r w:rsidRPr="00116A0C">
        <w:rPr>
          <w:rFonts w:cstheme="minorHAnsi"/>
          <w:b/>
          <w:bCs/>
          <w:color w:val="000000"/>
          <w:sz w:val="18"/>
          <w:szCs w:val="18"/>
          <w:lang w:val="en-GB"/>
        </w:rPr>
        <w:t>2016</w:t>
      </w:r>
      <w:r w:rsidRPr="00116A0C">
        <w:rPr>
          <w:rFonts w:cstheme="minorHAnsi"/>
          <w:color w:val="000000"/>
          <w:sz w:val="18"/>
          <w:szCs w:val="18"/>
          <w:lang w:val="en-GB"/>
        </w:rPr>
        <w:t xml:space="preserve">, 30, 1765–1779. </w:t>
      </w:r>
    </w:p>
  </w:endnote>
  <w:endnote w:id="13">
    <w:p w14:paraId="64EF4971"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Keene, B.W.; Atkins, C.E.; Bonagura, J.; Fox, P.R.; Häggström, J.; Fuentes, V.L.; Oyama, M.A.; Rush, J.E.; Stepien, R.; Uechi, M. ACVIM consensus guidelines for the diagnosis and treatment of myxomatous mitral valve disease in dogs. J. Vet. Intern. Med. </w:t>
      </w:r>
      <w:r w:rsidRPr="00116A0C">
        <w:rPr>
          <w:rFonts w:cstheme="minorHAnsi"/>
          <w:b/>
          <w:bCs/>
          <w:color w:val="000000"/>
          <w:sz w:val="18"/>
          <w:szCs w:val="18"/>
          <w:lang w:val="en-GB"/>
        </w:rPr>
        <w:t>2019</w:t>
      </w:r>
      <w:r w:rsidRPr="00116A0C">
        <w:rPr>
          <w:rFonts w:cstheme="minorHAnsi"/>
          <w:color w:val="000000"/>
          <w:sz w:val="18"/>
          <w:szCs w:val="18"/>
          <w:lang w:val="en-GB"/>
        </w:rPr>
        <w:t xml:space="preserve">, 33, 1127–1140. </w:t>
      </w:r>
    </w:p>
  </w:endnote>
  <w:endnote w:id="14">
    <w:p w14:paraId="4AE15F1F"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Summerfield, N.; </w:t>
      </w:r>
      <w:proofErr w:type="spellStart"/>
      <w:r w:rsidRPr="00116A0C">
        <w:rPr>
          <w:rFonts w:cstheme="minorHAnsi"/>
          <w:color w:val="000000"/>
          <w:sz w:val="18"/>
          <w:szCs w:val="18"/>
          <w:lang w:val="en-GB"/>
        </w:rPr>
        <w:t>Boswood</w:t>
      </w:r>
      <w:proofErr w:type="spellEnd"/>
      <w:r w:rsidRPr="00116A0C">
        <w:rPr>
          <w:rFonts w:cstheme="minorHAnsi"/>
          <w:color w:val="000000"/>
          <w:sz w:val="18"/>
          <w:szCs w:val="18"/>
          <w:lang w:val="en-GB"/>
        </w:rPr>
        <w:t xml:space="preserve">, A.; O’Grady, M.; Gordon, S.; Dukes-McEwan, J.; Oyama, M.; Smith, S.; Patteson, M.; French, A.; Culshaw, G.; et al. Efficacy of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in the Prevention of Congestive Heart Failure or Sudden Death in Doberman Pinschers with Preclinical Dilated Cardiomyopathy (The PROTECT Study). J. Vet. Intern. Med. </w:t>
      </w:r>
      <w:r w:rsidRPr="00116A0C">
        <w:rPr>
          <w:rFonts w:cstheme="minorHAnsi"/>
          <w:b/>
          <w:bCs/>
          <w:color w:val="000000"/>
          <w:sz w:val="18"/>
          <w:szCs w:val="18"/>
          <w:lang w:val="en-GB"/>
        </w:rPr>
        <w:t>2012</w:t>
      </w:r>
      <w:r w:rsidRPr="00116A0C">
        <w:rPr>
          <w:rFonts w:cstheme="minorHAnsi"/>
          <w:color w:val="000000"/>
          <w:sz w:val="18"/>
          <w:szCs w:val="18"/>
          <w:lang w:val="en-GB"/>
        </w:rPr>
        <w:t xml:space="preserve">, 26, 1337–1349. </w:t>
      </w:r>
    </w:p>
  </w:endnote>
  <w:endnote w:id="15">
    <w:p w14:paraId="430B17C1"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Hori, Y.; Taira, H.; Nakajima, Y.; Ishikawa, Y.; Yumoto, Y.; Maekawa, Y.; Oshiro, A. Inotropic effects of a single intravenous recommended dose of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in healthy dogs. J. Vet. Med. Sci. </w:t>
      </w:r>
      <w:r w:rsidRPr="00116A0C">
        <w:rPr>
          <w:rFonts w:cstheme="minorHAnsi"/>
          <w:b/>
          <w:bCs/>
          <w:color w:val="000000"/>
          <w:sz w:val="18"/>
          <w:szCs w:val="18"/>
          <w:lang w:val="en-GB"/>
        </w:rPr>
        <w:t>2019</w:t>
      </w:r>
      <w:r w:rsidRPr="00116A0C">
        <w:rPr>
          <w:rFonts w:cstheme="minorHAnsi"/>
          <w:color w:val="000000"/>
          <w:sz w:val="18"/>
          <w:szCs w:val="18"/>
          <w:lang w:val="en-GB"/>
        </w:rPr>
        <w:t xml:space="preserve">, 81, 22–25. </w:t>
      </w:r>
    </w:p>
  </w:endnote>
  <w:endnote w:id="16">
    <w:p w14:paraId="1B9B2BBF" w14:textId="77777777" w:rsidR="00EE6F6B" w:rsidRPr="00116A0C" w:rsidRDefault="00EE6F6B" w:rsidP="00EE6F6B">
      <w:pPr>
        <w:autoSpaceDE w:val="0"/>
        <w:autoSpaceDN w:val="0"/>
        <w:adjustRightInd w:val="0"/>
        <w:spacing w:after="0" w:line="240" w:lineRule="auto"/>
        <w:jc w:val="both"/>
        <w:rPr>
          <w:rFonts w:cstheme="minorHAnsi"/>
          <w:color w:val="000000"/>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proofErr w:type="spellStart"/>
      <w:r w:rsidRPr="00116A0C">
        <w:rPr>
          <w:rFonts w:cstheme="minorHAnsi"/>
          <w:color w:val="000000"/>
          <w:sz w:val="18"/>
          <w:szCs w:val="18"/>
          <w:lang w:val="en-GB"/>
        </w:rPr>
        <w:t>Pichayapaiboon</w:t>
      </w:r>
      <w:proofErr w:type="spellEnd"/>
      <w:r w:rsidRPr="00116A0C">
        <w:rPr>
          <w:rFonts w:cstheme="minorHAnsi"/>
          <w:color w:val="000000"/>
          <w:sz w:val="18"/>
          <w:szCs w:val="18"/>
          <w:lang w:val="en-GB"/>
        </w:rPr>
        <w:t xml:space="preserve">, P.; </w:t>
      </w:r>
      <w:proofErr w:type="spellStart"/>
      <w:r w:rsidRPr="00116A0C">
        <w:rPr>
          <w:rFonts w:cstheme="minorHAnsi"/>
          <w:color w:val="000000"/>
          <w:sz w:val="18"/>
          <w:szCs w:val="18"/>
          <w:lang w:val="en-GB"/>
        </w:rPr>
        <w:t>Tantisuwat</w:t>
      </w:r>
      <w:proofErr w:type="spellEnd"/>
      <w:r w:rsidRPr="00116A0C">
        <w:rPr>
          <w:rFonts w:cstheme="minorHAnsi"/>
          <w:color w:val="000000"/>
          <w:sz w:val="18"/>
          <w:szCs w:val="18"/>
          <w:lang w:val="en-GB"/>
        </w:rPr>
        <w:t xml:space="preserve">, L.; </w:t>
      </w:r>
      <w:proofErr w:type="spellStart"/>
      <w:r w:rsidRPr="00116A0C">
        <w:rPr>
          <w:rFonts w:cstheme="minorHAnsi"/>
          <w:color w:val="000000"/>
          <w:sz w:val="18"/>
          <w:szCs w:val="18"/>
          <w:lang w:val="en-GB"/>
        </w:rPr>
        <w:t>Boonpala</w:t>
      </w:r>
      <w:proofErr w:type="spellEnd"/>
      <w:r w:rsidRPr="00116A0C">
        <w:rPr>
          <w:rFonts w:cstheme="minorHAnsi"/>
          <w:color w:val="000000"/>
          <w:sz w:val="18"/>
          <w:szCs w:val="18"/>
          <w:lang w:val="en-GB"/>
        </w:rPr>
        <w:t xml:space="preserve">, P.; </w:t>
      </w:r>
      <w:proofErr w:type="spellStart"/>
      <w:r w:rsidRPr="00116A0C">
        <w:rPr>
          <w:rFonts w:cstheme="minorHAnsi"/>
          <w:color w:val="000000"/>
          <w:sz w:val="18"/>
          <w:szCs w:val="18"/>
          <w:lang w:val="en-GB"/>
        </w:rPr>
        <w:t>Saengklub</w:t>
      </w:r>
      <w:proofErr w:type="spellEnd"/>
      <w:r w:rsidRPr="00116A0C">
        <w:rPr>
          <w:rFonts w:cstheme="minorHAnsi"/>
          <w:color w:val="000000"/>
          <w:sz w:val="18"/>
          <w:szCs w:val="18"/>
          <w:lang w:val="en-GB"/>
        </w:rPr>
        <w:t xml:space="preserve">, N.; </w:t>
      </w:r>
      <w:proofErr w:type="spellStart"/>
      <w:r w:rsidRPr="00116A0C">
        <w:rPr>
          <w:rFonts w:cstheme="minorHAnsi"/>
          <w:color w:val="000000"/>
          <w:sz w:val="18"/>
          <w:szCs w:val="18"/>
          <w:lang w:val="en-GB"/>
        </w:rPr>
        <w:t>Boonyarattanasoonthorn</w:t>
      </w:r>
      <w:proofErr w:type="spellEnd"/>
      <w:r w:rsidRPr="00116A0C">
        <w:rPr>
          <w:rFonts w:cstheme="minorHAnsi"/>
          <w:color w:val="000000"/>
          <w:sz w:val="18"/>
          <w:szCs w:val="18"/>
          <w:lang w:val="en-GB"/>
        </w:rPr>
        <w:t xml:space="preserve">, T.; </w:t>
      </w:r>
      <w:proofErr w:type="spellStart"/>
      <w:r w:rsidRPr="00116A0C">
        <w:rPr>
          <w:rFonts w:cstheme="minorHAnsi"/>
          <w:color w:val="000000"/>
          <w:sz w:val="18"/>
          <w:szCs w:val="18"/>
          <w:lang w:val="en-GB"/>
        </w:rPr>
        <w:t>Khemawoot</w:t>
      </w:r>
      <w:proofErr w:type="spellEnd"/>
      <w:r w:rsidRPr="00116A0C">
        <w:rPr>
          <w:rFonts w:cstheme="minorHAnsi"/>
          <w:color w:val="000000"/>
          <w:sz w:val="18"/>
          <w:szCs w:val="18"/>
          <w:lang w:val="en-GB"/>
        </w:rPr>
        <w:t xml:space="preserve">, P.; </w:t>
      </w:r>
      <w:proofErr w:type="spellStart"/>
      <w:r w:rsidRPr="00116A0C">
        <w:rPr>
          <w:rFonts w:cstheme="minorHAnsi"/>
          <w:color w:val="000000"/>
          <w:sz w:val="18"/>
          <w:szCs w:val="18"/>
          <w:lang w:val="en-GB"/>
        </w:rPr>
        <w:t>Kijtawornrat</w:t>
      </w:r>
      <w:proofErr w:type="spellEnd"/>
      <w:r w:rsidRPr="00116A0C">
        <w:rPr>
          <w:rFonts w:cstheme="minorHAnsi"/>
          <w:color w:val="000000"/>
          <w:sz w:val="18"/>
          <w:szCs w:val="18"/>
          <w:lang w:val="en-GB"/>
        </w:rPr>
        <w:t xml:space="preserve">, A. Pharmacodynamics and Pharmacokinetics of Injectable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and Its Metabolite, O-</w:t>
      </w:r>
      <w:proofErr w:type="spellStart"/>
      <w:r w:rsidRPr="00116A0C">
        <w:rPr>
          <w:rFonts w:cstheme="minorHAnsi"/>
          <w:color w:val="000000"/>
          <w:sz w:val="18"/>
          <w:szCs w:val="18"/>
          <w:lang w:val="en-GB"/>
        </w:rPr>
        <w:t>Desmethyl</w:t>
      </w:r>
      <w:proofErr w:type="spellEnd"/>
      <w:r w:rsidRPr="00116A0C">
        <w:rPr>
          <w:rFonts w:cstheme="minorHAnsi"/>
          <w:color w:val="000000"/>
          <w:sz w:val="18"/>
          <w:szCs w:val="18"/>
          <w:lang w:val="en-GB"/>
        </w:rPr>
        <w:t>-</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in Healthy Dogs. Front. Vet. Sci. </w:t>
      </w:r>
      <w:r w:rsidRPr="00116A0C">
        <w:rPr>
          <w:rFonts w:cstheme="minorHAnsi"/>
          <w:b/>
          <w:bCs/>
          <w:color w:val="000000"/>
          <w:sz w:val="18"/>
          <w:szCs w:val="18"/>
          <w:lang w:val="en-GB"/>
        </w:rPr>
        <w:t>2021</w:t>
      </w:r>
      <w:r w:rsidRPr="00116A0C">
        <w:rPr>
          <w:rFonts w:cstheme="minorHAnsi"/>
          <w:color w:val="000000"/>
          <w:sz w:val="18"/>
          <w:szCs w:val="18"/>
          <w:lang w:val="en-GB"/>
        </w:rPr>
        <w:t xml:space="preserve">, 8, 656902. </w:t>
      </w:r>
    </w:p>
  </w:endnote>
  <w:endnote w:id="17">
    <w:p w14:paraId="2AE9EFB1" w14:textId="77777777" w:rsidR="00EE6F6B" w:rsidRPr="00116A0C" w:rsidRDefault="00EE6F6B" w:rsidP="00EE6F6B">
      <w:pPr>
        <w:autoSpaceDE w:val="0"/>
        <w:autoSpaceDN w:val="0"/>
        <w:adjustRightInd w:val="0"/>
        <w:spacing w:after="0" w:line="240" w:lineRule="auto"/>
        <w:jc w:val="both"/>
        <w:rPr>
          <w:rFonts w:cstheme="minorHAns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w:t>
      </w:r>
      <w:r w:rsidRPr="00116A0C">
        <w:rPr>
          <w:rFonts w:cstheme="minorHAnsi"/>
          <w:color w:val="000000"/>
          <w:sz w:val="18"/>
          <w:szCs w:val="18"/>
          <w:lang w:val="en-GB"/>
        </w:rPr>
        <w:t xml:space="preserve">Ichihara, K.; Abiko, Y. The Effect of </w:t>
      </w:r>
      <w:proofErr w:type="spellStart"/>
      <w:r w:rsidRPr="00116A0C">
        <w:rPr>
          <w:rFonts w:cstheme="minorHAnsi"/>
          <w:color w:val="000000"/>
          <w:sz w:val="18"/>
          <w:szCs w:val="18"/>
          <w:lang w:val="en-GB"/>
        </w:rPr>
        <w:t>Pimobendan</w:t>
      </w:r>
      <w:proofErr w:type="spellEnd"/>
      <w:r w:rsidRPr="00116A0C">
        <w:rPr>
          <w:rFonts w:cstheme="minorHAnsi"/>
          <w:color w:val="000000"/>
          <w:sz w:val="18"/>
          <w:szCs w:val="18"/>
          <w:lang w:val="en-GB"/>
        </w:rPr>
        <w:t xml:space="preserve"> on Myocardial Mechanical Function and Metabolism in Dogs: Comparison with Dobutamine. J. Pharm. </w:t>
      </w:r>
      <w:proofErr w:type="spellStart"/>
      <w:r w:rsidRPr="00116A0C">
        <w:rPr>
          <w:rFonts w:cstheme="minorHAnsi"/>
          <w:color w:val="000000"/>
          <w:sz w:val="18"/>
          <w:szCs w:val="18"/>
          <w:lang w:val="en-GB"/>
        </w:rPr>
        <w:t>Pharmacol</w:t>
      </w:r>
      <w:proofErr w:type="spellEnd"/>
      <w:r w:rsidRPr="00116A0C">
        <w:rPr>
          <w:rFonts w:cstheme="minorHAnsi"/>
          <w:color w:val="000000"/>
          <w:sz w:val="18"/>
          <w:szCs w:val="18"/>
          <w:lang w:val="en-GB"/>
        </w:rPr>
        <w:t xml:space="preserve">. </w:t>
      </w:r>
      <w:r w:rsidRPr="00116A0C">
        <w:rPr>
          <w:rFonts w:cstheme="minorHAnsi"/>
          <w:b/>
          <w:bCs/>
          <w:color w:val="000000"/>
          <w:sz w:val="18"/>
          <w:szCs w:val="18"/>
          <w:lang w:val="en-GB"/>
        </w:rPr>
        <w:t>1991</w:t>
      </w:r>
      <w:r w:rsidRPr="00116A0C">
        <w:rPr>
          <w:rFonts w:cstheme="minorHAnsi"/>
          <w:color w:val="000000"/>
          <w:sz w:val="18"/>
          <w:szCs w:val="18"/>
          <w:lang w:val="en-GB"/>
        </w:rPr>
        <w:t xml:space="preserve">, 43, 583–588. </w:t>
      </w:r>
    </w:p>
  </w:endnote>
  <w:endnote w:id="18">
    <w:p w14:paraId="6B9D20B5" w14:textId="77777777" w:rsidR="00EE6F6B" w:rsidRPr="00116A0C" w:rsidRDefault="00EE6F6B" w:rsidP="00EE6F6B">
      <w:pPr>
        <w:autoSpaceDE w:val="0"/>
        <w:autoSpaceDN w:val="0"/>
        <w:adjustRightInd w:val="0"/>
        <w:spacing w:after="0" w:line="240" w:lineRule="auto"/>
        <w:jc w:val="both"/>
        <w:rPr>
          <w:rFonts w:ascii="Calibri" w:hAnsi="Calibri" w:cs="Calibri"/>
          <w:sz w:val="18"/>
          <w:szCs w:val="18"/>
          <w:lang w:val="en-GB"/>
        </w:rPr>
      </w:pPr>
      <w:r w:rsidRPr="00116A0C">
        <w:rPr>
          <w:rStyle w:val="Refdenotaalfinal"/>
          <w:rFonts w:cstheme="minorHAnsi"/>
          <w:sz w:val="18"/>
          <w:szCs w:val="18"/>
        </w:rPr>
        <w:endnoteRef/>
      </w:r>
      <w:r w:rsidRPr="00116A0C">
        <w:rPr>
          <w:rFonts w:cstheme="minorHAnsi"/>
          <w:sz w:val="18"/>
          <w:szCs w:val="18"/>
          <w:lang w:val="en-GB"/>
        </w:rPr>
        <w:t xml:space="preserve"> Hata, K.; Goto,</w:t>
      </w:r>
      <w:r w:rsidRPr="00116A0C">
        <w:rPr>
          <w:rFonts w:ascii="Calibri" w:hAnsi="Calibri" w:cs="Calibri"/>
          <w:sz w:val="18"/>
          <w:szCs w:val="18"/>
          <w:lang w:val="en-GB"/>
        </w:rPr>
        <w:t xml:space="preserve"> Y.; </w:t>
      </w:r>
      <w:proofErr w:type="spellStart"/>
      <w:r w:rsidRPr="00116A0C">
        <w:rPr>
          <w:rFonts w:ascii="Calibri" w:hAnsi="Calibri" w:cs="Calibri"/>
          <w:sz w:val="18"/>
          <w:szCs w:val="18"/>
          <w:lang w:val="en-GB"/>
        </w:rPr>
        <w:t>Futaki</w:t>
      </w:r>
      <w:proofErr w:type="spellEnd"/>
      <w:r w:rsidRPr="00116A0C">
        <w:rPr>
          <w:rFonts w:ascii="Calibri" w:hAnsi="Calibri" w:cs="Calibri"/>
          <w:sz w:val="18"/>
          <w:szCs w:val="18"/>
          <w:lang w:val="en-GB"/>
        </w:rPr>
        <w:t xml:space="preserve">, S.; </w:t>
      </w:r>
      <w:proofErr w:type="spellStart"/>
      <w:r w:rsidRPr="00116A0C">
        <w:rPr>
          <w:rFonts w:ascii="Calibri" w:hAnsi="Calibri" w:cs="Calibri"/>
          <w:sz w:val="18"/>
          <w:szCs w:val="18"/>
          <w:lang w:val="en-GB"/>
        </w:rPr>
        <w:t>Ohgoshi</w:t>
      </w:r>
      <w:proofErr w:type="spellEnd"/>
      <w:r w:rsidRPr="00116A0C">
        <w:rPr>
          <w:rFonts w:ascii="Calibri" w:hAnsi="Calibri" w:cs="Calibri"/>
          <w:sz w:val="18"/>
          <w:szCs w:val="18"/>
          <w:lang w:val="en-GB"/>
        </w:rPr>
        <w:t xml:space="preserve">, Y.; </w:t>
      </w:r>
      <w:proofErr w:type="spellStart"/>
      <w:r w:rsidRPr="00116A0C">
        <w:rPr>
          <w:rFonts w:ascii="Calibri" w:hAnsi="Calibri" w:cs="Calibri"/>
          <w:sz w:val="18"/>
          <w:szCs w:val="18"/>
          <w:lang w:val="en-GB"/>
        </w:rPr>
        <w:t>Yaku</w:t>
      </w:r>
      <w:proofErr w:type="spellEnd"/>
      <w:r w:rsidRPr="00116A0C">
        <w:rPr>
          <w:rFonts w:ascii="Calibri" w:hAnsi="Calibri" w:cs="Calibri"/>
          <w:sz w:val="18"/>
          <w:szCs w:val="18"/>
          <w:lang w:val="en-GB"/>
        </w:rPr>
        <w:t xml:space="preserve">, H.; Kawaguchi, O.; Takasago, T.; Saeki, A.; Taylor, T.W.; Nishioka, T. </w:t>
      </w:r>
      <w:proofErr w:type="spellStart"/>
      <w:r w:rsidRPr="00116A0C">
        <w:rPr>
          <w:rFonts w:ascii="Calibri" w:hAnsi="Calibri" w:cs="Calibri"/>
          <w:sz w:val="18"/>
          <w:szCs w:val="18"/>
          <w:lang w:val="en-GB"/>
        </w:rPr>
        <w:t>Mechanoenergetic</w:t>
      </w:r>
      <w:proofErr w:type="spellEnd"/>
      <w:r w:rsidRPr="00116A0C">
        <w:rPr>
          <w:rFonts w:ascii="Calibri" w:hAnsi="Calibri" w:cs="Calibri"/>
          <w:sz w:val="18"/>
          <w:szCs w:val="18"/>
          <w:lang w:val="en-GB"/>
        </w:rPr>
        <w:t xml:space="preserve"> effects of </w:t>
      </w:r>
      <w:proofErr w:type="spellStart"/>
      <w:r w:rsidRPr="00116A0C">
        <w:rPr>
          <w:rFonts w:ascii="Calibri" w:hAnsi="Calibri" w:cs="Calibri"/>
          <w:sz w:val="18"/>
          <w:szCs w:val="18"/>
          <w:lang w:val="en-GB"/>
        </w:rPr>
        <w:t>pimobendan</w:t>
      </w:r>
      <w:proofErr w:type="spellEnd"/>
      <w:r w:rsidRPr="00116A0C">
        <w:rPr>
          <w:rFonts w:ascii="Calibri" w:hAnsi="Calibri" w:cs="Calibri"/>
          <w:sz w:val="18"/>
          <w:szCs w:val="18"/>
          <w:lang w:val="en-GB"/>
        </w:rPr>
        <w:t xml:space="preserve"> in canine left ventricles. Comparison with dobutamine. Circulation </w:t>
      </w:r>
      <w:r w:rsidRPr="00116A0C">
        <w:rPr>
          <w:rFonts w:ascii="Calibri" w:hAnsi="Calibri" w:cs="Calibri"/>
          <w:b/>
          <w:bCs/>
          <w:sz w:val="18"/>
          <w:szCs w:val="18"/>
          <w:lang w:val="en-GB"/>
        </w:rPr>
        <w:t>1992</w:t>
      </w:r>
      <w:r w:rsidRPr="00116A0C">
        <w:rPr>
          <w:rFonts w:ascii="Calibri" w:hAnsi="Calibri" w:cs="Calibri"/>
          <w:sz w:val="18"/>
          <w:szCs w:val="18"/>
          <w:lang w:val="en-GB"/>
        </w:rPr>
        <w:t>, 86, 1291–1301.</w:t>
      </w:r>
    </w:p>
  </w:endnote>
  <w:endnote w:id="19">
    <w:p w14:paraId="05FC9D91" w14:textId="77777777" w:rsidR="00EE6F6B" w:rsidRPr="00306B05" w:rsidRDefault="00EE6F6B" w:rsidP="00EE6F6B">
      <w:pPr>
        <w:autoSpaceDE w:val="0"/>
        <w:autoSpaceDN w:val="0"/>
        <w:adjustRightInd w:val="0"/>
        <w:spacing w:after="0" w:line="240" w:lineRule="auto"/>
        <w:jc w:val="both"/>
        <w:rPr>
          <w:rFonts w:ascii="Calibri" w:hAnsi="Calibri" w:cs="Calibri"/>
          <w:color w:val="000000"/>
          <w:sz w:val="18"/>
          <w:szCs w:val="18"/>
        </w:rPr>
      </w:pPr>
      <w:r w:rsidRPr="00116A0C">
        <w:rPr>
          <w:rStyle w:val="Refdenotaalfinal"/>
          <w:rFonts w:hAnsi="Calibri" w:cs="Calibri"/>
          <w:sz w:val="18"/>
          <w:szCs w:val="18"/>
        </w:rPr>
        <w:endnoteRef/>
      </w:r>
      <w:r w:rsidRPr="00116A0C">
        <w:rPr>
          <w:rFonts w:ascii="Calibri" w:hAnsi="Calibri" w:cs="Calibri"/>
          <w:sz w:val="18"/>
          <w:szCs w:val="18"/>
          <w:lang w:val="en-GB"/>
        </w:rPr>
        <w:t xml:space="preserve"> </w:t>
      </w:r>
      <w:r w:rsidRPr="00116A0C">
        <w:rPr>
          <w:rFonts w:ascii="Calibri" w:hAnsi="Calibri" w:cs="Calibri"/>
          <w:color w:val="000000"/>
          <w:sz w:val="18"/>
          <w:szCs w:val="18"/>
          <w:lang w:val="en-GB"/>
        </w:rPr>
        <w:t>Pagel, P.S.; Hettrick, D.A.;</w:t>
      </w:r>
      <w:r>
        <w:rPr>
          <w:rFonts w:ascii="Calibri" w:hAnsi="Calibri" w:cs="Calibri"/>
          <w:color w:val="000000"/>
          <w:sz w:val="18"/>
          <w:szCs w:val="18"/>
          <w:lang w:val="en-GB"/>
        </w:rPr>
        <w:t xml:space="preserve"> </w:t>
      </w:r>
      <w:proofErr w:type="spellStart"/>
      <w:r w:rsidRPr="00116A0C">
        <w:rPr>
          <w:rFonts w:ascii="Calibri" w:hAnsi="Calibri" w:cs="Calibri"/>
          <w:color w:val="000000"/>
          <w:sz w:val="18"/>
          <w:szCs w:val="18"/>
          <w:lang w:val="en-GB"/>
        </w:rPr>
        <w:t>Warltier</w:t>
      </w:r>
      <w:proofErr w:type="spellEnd"/>
      <w:r w:rsidRPr="00116A0C">
        <w:rPr>
          <w:rFonts w:ascii="Calibri" w:hAnsi="Calibri" w:cs="Calibri"/>
          <w:color w:val="000000"/>
          <w:sz w:val="18"/>
          <w:szCs w:val="18"/>
          <w:lang w:val="en-GB"/>
        </w:rPr>
        <w:t xml:space="preserve">, D.C. Influence of </w:t>
      </w:r>
      <w:proofErr w:type="spellStart"/>
      <w:r w:rsidRPr="00116A0C">
        <w:rPr>
          <w:rFonts w:ascii="Calibri" w:hAnsi="Calibri" w:cs="Calibri"/>
          <w:color w:val="000000"/>
          <w:sz w:val="18"/>
          <w:szCs w:val="18"/>
          <w:lang w:val="en-GB"/>
        </w:rPr>
        <w:t>levosimendan</w:t>
      </w:r>
      <w:proofErr w:type="spellEnd"/>
      <w:r w:rsidRPr="00116A0C">
        <w:rPr>
          <w:rFonts w:ascii="Calibri" w:hAnsi="Calibri" w:cs="Calibri"/>
          <w:color w:val="000000"/>
          <w:sz w:val="18"/>
          <w:szCs w:val="18"/>
          <w:lang w:val="en-GB"/>
        </w:rPr>
        <w:t xml:space="preserve">, </w:t>
      </w:r>
      <w:proofErr w:type="spellStart"/>
      <w:r w:rsidRPr="00116A0C">
        <w:rPr>
          <w:rFonts w:ascii="Calibri" w:hAnsi="Calibri" w:cs="Calibri"/>
          <w:color w:val="000000"/>
          <w:sz w:val="18"/>
          <w:szCs w:val="18"/>
          <w:lang w:val="en-GB"/>
        </w:rPr>
        <w:t>pimobendan</w:t>
      </w:r>
      <w:proofErr w:type="spellEnd"/>
      <w:r w:rsidRPr="00116A0C">
        <w:rPr>
          <w:rFonts w:ascii="Calibri" w:hAnsi="Calibri" w:cs="Calibri"/>
          <w:color w:val="000000"/>
          <w:sz w:val="18"/>
          <w:szCs w:val="18"/>
          <w:lang w:val="en-GB"/>
        </w:rPr>
        <w:t xml:space="preserve">, and milrinone on the regional distribution of cardiac output in anaesthetized dogs. </w:t>
      </w:r>
      <w:r w:rsidRPr="00306B05">
        <w:rPr>
          <w:rFonts w:ascii="Calibri" w:hAnsi="Calibri" w:cs="Calibri"/>
          <w:color w:val="000000"/>
          <w:sz w:val="18"/>
          <w:szCs w:val="18"/>
        </w:rPr>
        <w:t xml:space="preserve">Br. J. </w:t>
      </w:r>
      <w:proofErr w:type="spellStart"/>
      <w:r w:rsidRPr="00306B05">
        <w:rPr>
          <w:rFonts w:ascii="Calibri" w:hAnsi="Calibri" w:cs="Calibri"/>
          <w:color w:val="000000"/>
          <w:sz w:val="18"/>
          <w:szCs w:val="18"/>
        </w:rPr>
        <w:t>Pharmacol</w:t>
      </w:r>
      <w:proofErr w:type="spellEnd"/>
      <w:r w:rsidRPr="00306B05">
        <w:rPr>
          <w:rFonts w:ascii="Calibri" w:hAnsi="Calibri" w:cs="Calibri"/>
          <w:color w:val="000000"/>
          <w:sz w:val="18"/>
          <w:szCs w:val="18"/>
        </w:rPr>
        <w:t xml:space="preserve">. </w:t>
      </w:r>
      <w:r w:rsidRPr="00306B05">
        <w:rPr>
          <w:rFonts w:ascii="Calibri" w:hAnsi="Calibri" w:cs="Calibri"/>
          <w:b/>
          <w:bCs/>
          <w:color w:val="000000"/>
          <w:sz w:val="18"/>
          <w:szCs w:val="18"/>
        </w:rPr>
        <w:t>1996</w:t>
      </w:r>
      <w:r w:rsidRPr="00306B05">
        <w:rPr>
          <w:rFonts w:ascii="Calibri" w:hAnsi="Calibri" w:cs="Calibri"/>
          <w:color w:val="000000"/>
          <w:sz w:val="18"/>
          <w:szCs w:val="18"/>
        </w:rPr>
        <w:t xml:space="preserve">, 119, 609–615. </w:t>
      </w:r>
    </w:p>
    <w:p w14:paraId="66788FDD" w14:textId="77777777" w:rsidR="00EE6F6B" w:rsidRPr="00306B05" w:rsidRDefault="00EE6F6B" w:rsidP="00EE6F6B">
      <w:pPr>
        <w:autoSpaceDE w:val="0"/>
        <w:autoSpaceDN w:val="0"/>
        <w:adjustRightInd w:val="0"/>
        <w:spacing w:after="0" w:line="240" w:lineRule="auto"/>
        <w:jc w:val="both"/>
        <w:rPr>
          <w:rFonts w:ascii="Calibri" w:hAnsi="Calibri" w:cs="Calibri"/>
          <w:color w:val="000000"/>
          <w:sz w:val="18"/>
          <w:szCs w:val="18"/>
        </w:rPr>
      </w:pPr>
    </w:p>
    <w:p w14:paraId="46438805" w14:textId="77777777" w:rsidR="00EE6F6B" w:rsidRPr="00306B05" w:rsidRDefault="00EE6F6B" w:rsidP="00EE6F6B">
      <w:pPr>
        <w:autoSpaceDE w:val="0"/>
        <w:autoSpaceDN w:val="0"/>
        <w:adjustRightInd w:val="0"/>
        <w:spacing w:after="0" w:line="240" w:lineRule="auto"/>
        <w:jc w:val="both"/>
        <w:rPr>
          <w:rFonts w:ascii="Calibri" w:hAnsi="Calibri" w:cs="Calibri"/>
          <w:color w:val="000000"/>
          <w:sz w:val="18"/>
          <w:szCs w:val="18"/>
        </w:rPr>
      </w:pPr>
    </w:p>
    <w:p w14:paraId="0AE76B19" w14:textId="77777777" w:rsidR="00EE6F6B" w:rsidRPr="00DA7008" w:rsidRDefault="00EE6F6B" w:rsidP="00EE6F6B">
      <w:pPr>
        <w:rPr>
          <w:b/>
          <w:sz w:val="20"/>
          <w:szCs w:val="20"/>
          <w:lang w:val="es"/>
        </w:rPr>
      </w:pPr>
      <w:r w:rsidRPr="00DA7008">
        <w:rPr>
          <w:b/>
          <w:bCs/>
          <w:sz w:val="20"/>
          <w:szCs w:val="20"/>
          <w:lang w:val="es"/>
        </w:rPr>
        <w:t>Sobre</w:t>
      </w:r>
      <w:r w:rsidRPr="00DA7008">
        <w:rPr>
          <w:b/>
          <w:sz w:val="20"/>
          <w:szCs w:val="20"/>
          <w:lang w:val="es"/>
        </w:rPr>
        <w:t xml:space="preserve"> AniCura </w:t>
      </w:r>
    </w:p>
    <w:p w14:paraId="7B952D1C" w14:textId="77777777" w:rsidR="00B306CE" w:rsidRDefault="00B306CE" w:rsidP="00EE6F6B">
      <w:pPr>
        <w:jc w:val="both"/>
        <w:rPr>
          <w:rStyle w:val="eop"/>
          <w:rFonts w:ascii="Calibri" w:hAnsi="Calibri" w:cs="Calibri"/>
          <w:color w:val="000000"/>
          <w:sz w:val="18"/>
          <w:szCs w:val="18"/>
          <w:shd w:val="clear" w:color="auto" w:fill="FFFFFF"/>
        </w:rPr>
      </w:pPr>
      <w:r>
        <w:rPr>
          <w:rStyle w:val="normaltextrun"/>
          <w:rFonts w:ascii="Calibri" w:hAnsi="Calibri" w:cs="Calibri"/>
          <w:color w:val="000000"/>
          <w:sz w:val="18"/>
          <w:szCs w:val="18"/>
          <w:shd w:val="clear" w:color="auto" w:fill="FFFFFF"/>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85 de ellas en Iberia, y con 11.000 trabajadores, de los cuales cerca de 1.800 trabajan en la península, y atiende anualmente a más de cuatro millones y medio de pacientes. </w:t>
      </w:r>
      <w:r>
        <w:rPr>
          <w:rStyle w:val="eop"/>
          <w:rFonts w:ascii="Calibri" w:hAnsi="Calibri" w:cs="Calibri"/>
          <w:color w:val="000000"/>
          <w:sz w:val="18"/>
          <w:szCs w:val="18"/>
          <w:shd w:val="clear" w:color="auto" w:fill="FFFFFF"/>
        </w:rPr>
        <w:t> </w:t>
      </w:r>
    </w:p>
    <w:p w14:paraId="224BEF02" w14:textId="57693EA5" w:rsidR="00EE6F6B" w:rsidRDefault="00EE6F6B" w:rsidP="00EE6F6B">
      <w:pPr>
        <w:jc w:val="both"/>
        <w:rPr>
          <w:rStyle w:val="Hipervnculo"/>
          <w:sz w:val="18"/>
          <w:szCs w:val="18"/>
          <w:lang w:val="es"/>
        </w:rPr>
      </w:pPr>
      <w:r w:rsidRPr="00DA7008">
        <w:rPr>
          <w:sz w:val="18"/>
          <w:szCs w:val="18"/>
        </w:rPr>
        <w:t>AniCura ofrece una amplia gama de servicios médicos y quirúrgicos: cuidados preventivos y atención primaria, diagnósticos avanzados, medicina interna, cuidados intensivos, cirugía general, ortopedia, etc. Ofrecemos también rehabilitación, fisioterapia y asesoramiento dietético, así como alimentación y complementos para el cuidado de las mascotas.</w:t>
      </w:r>
      <w:r>
        <w:rPr>
          <w:sz w:val="18"/>
          <w:szCs w:val="18"/>
        </w:rPr>
        <w:t xml:space="preserve"> </w:t>
      </w:r>
      <w:r w:rsidRPr="00DA7008">
        <w:rPr>
          <w:iCs/>
          <w:sz w:val="18"/>
          <w:szCs w:val="18"/>
          <w:lang w:val="es"/>
        </w:rPr>
        <w:t xml:space="preserve">Desde 2018, AniCura forma parte de Mars </w:t>
      </w:r>
      <w:proofErr w:type="spellStart"/>
      <w:r w:rsidRPr="00DA7008">
        <w:rPr>
          <w:iCs/>
          <w:sz w:val="18"/>
          <w:szCs w:val="18"/>
          <w:lang w:val="es"/>
        </w:rPr>
        <w:t>Veterinary</w:t>
      </w:r>
      <w:proofErr w:type="spellEnd"/>
      <w:r w:rsidRPr="00DA7008">
        <w:rPr>
          <w:iCs/>
          <w:sz w:val="18"/>
          <w:szCs w:val="18"/>
          <w:lang w:val="es"/>
        </w:rPr>
        <w:t xml:space="preserve"> Health, una empresa familiar centrada en la atención veterinaria.</w:t>
      </w:r>
      <w:r w:rsidRPr="00DA7008">
        <w:rPr>
          <w:rFonts w:asciiTheme="majorHAnsi" w:hAnsiTheme="majorHAnsi"/>
          <w:sz w:val="18"/>
          <w:szCs w:val="18"/>
        </w:rPr>
        <w:t xml:space="preserve"> </w:t>
      </w:r>
      <w:r w:rsidRPr="00DA7008">
        <w:rPr>
          <w:sz w:val="18"/>
          <w:szCs w:val="18"/>
          <w:lang w:val="es"/>
        </w:rPr>
        <w:t xml:space="preserve">Para obtener información sobre cómo AniCura está trabajando para dar forma al futuro de la atención veterinaria, visite nuestro sitio web </w:t>
      </w:r>
      <w:hyperlink r:id="rId2" w:history="1">
        <w:r w:rsidRPr="00DA7008">
          <w:rPr>
            <w:rStyle w:val="Hipervnculo"/>
            <w:sz w:val="18"/>
            <w:szCs w:val="18"/>
            <w:lang w:val="es"/>
          </w:rPr>
          <w:t>www.anicuragroup.com</w:t>
        </w:r>
      </w:hyperlink>
    </w:p>
    <w:p w14:paraId="383DAEC1" w14:textId="77777777" w:rsidR="00EE6F6B" w:rsidRPr="00BE4015" w:rsidRDefault="00EE6F6B" w:rsidP="00EE6F6B">
      <w:pPr>
        <w:jc w:val="both"/>
      </w:pPr>
    </w:p>
    <w:p w14:paraId="561CE230" w14:textId="77777777" w:rsidR="00EE6F6B" w:rsidRPr="00FA7FB3" w:rsidRDefault="00EE6F6B" w:rsidP="00EE6F6B">
      <w:pPr>
        <w:pStyle w:val="ParaAttribute5"/>
        <w:spacing w:line="259" w:lineRule="auto"/>
        <w:rPr>
          <w:rFonts w:asciiTheme="minorHAnsi" w:eastAsiaTheme="minorHAnsi" w:hAnsiTheme="minorHAnsi" w:cstheme="minorBidi"/>
          <w:b/>
          <w:sz w:val="22"/>
          <w:szCs w:val="22"/>
          <w:lang w:eastAsia="en-US"/>
        </w:rPr>
      </w:pPr>
      <w:r w:rsidRPr="00FA7FB3">
        <w:rPr>
          <w:rFonts w:asciiTheme="minorHAnsi" w:eastAsiaTheme="minorHAnsi" w:hAnsiTheme="minorHAnsi" w:cstheme="minorBidi"/>
          <w:b/>
          <w:sz w:val="22"/>
          <w:szCs w:val="22"/>
          <w:lang w:eastAsia="en-US"/>
        </w:rPr>
        <w:t>Para más información y entrevistas:</w:t>
      </w:r>
    </w:p>
    <w:p w14:paraId="2D1E29B3" w14:textId="77777777" w:rsidR="00EE6F6B" w:rsidRDefault="00EE6F6B" w:rsidP="00EE6F6B">
      <w:pPr>
        <w:pStyle w:val="ParaAttribute7"/>
        <w:rPr>
          <w:rStyle w:val="CharAttribute23"/>
          <w:sz w:val="22"/>
          <w:szCs w:val="22"/>
        </w:rPr>
      </w:pPr>
      <w:r w:rsidRPr="00FA7FB3">
        <w:rPr>
          <w:rStyle w:val="CharAttribute23"/>
          <w:sz w:val="22"/>
          <w:szCs w:val="22"/>
        </w:rPr>
        <w:t>ATREVIA</w:t>
      </w:r>
    </w:p>
    <w:p w14:paraId="79327ED5" w14:textId="77777777" w:rsidR="00EE6F6B" w:rsidRDefault="00EE6F6B" w:rsidP="00EE6F6B">
      <w:pPr>
        <w:pStyle w:val="ParaAttribute7"/>
        <w:rPr>
          <w:rStyle w:val="CharAttribute23"/>
          <w:sz w:val="22"/>
          <w:szCs w:val="22"/>
        </w:rPr>
      </w:pPr>
    </w:p>
    <w:p w14:paraId="2138A42C" w14:textId="77777777" w:rsidR="00EE6F6B" w:rsidRDefault="00EE6F6B" w:rsidP="00EE6F6B">
      <w:pPr>
        <w:spacing w:after="0"/>
        <w:jc w:val="both"/>
      </w:pPr>
      <w:r>
        <w:rPr>
          <w:rFonts w:ascii="Calibri" w:eastAsia="Calibri" w:hAnsi="Calibri" w:cs="Calibri"/>
        </w:rPr>
        <w:t>María G. Antúnez,</w:t>
      </w:r>
      <w:r>
        <w:rPr>
          <w:rFonts w:ascii="Calibri" w:eastAsia="Calibri" w:hAnsi="Calibri" w:cs="Calibri"/>
          <w:color w:val="00B0F0"/>
        </w:rPr>
        <w:t xml:space="preserve"> </w:t>
      </w:r>
      <w:hyperlink r:id="rId3" w:history="1">
        <w:r>
          <w:rPr>
            <w:rStyle w:val="Hipervnculo"/>
            <w:rFonts w:ascii="Calibri" w:eastAsia="Calibri" w:hAnsi="Calibri" w:cs="Calibri"/>
          </w:rPr>
          <w:t>mgantunez@atrevia.com</w:t>
        </w:r>
      </w:hyperlink>
    </w:p>
    <w:p w14:paraId="14FEE9F4" w14:textId="77777777" w:rsidR="00EE6F6B" w:rsidRDefault="00EE6F6B" w:rsidP="00EE6F6B">
      <w:pPr>
        <w:spacing w:after="0"/>
        <w:jc w:val="both"/>
      </w:pPr>
      <w:r>
        <w:rPr>
          <w:rFonts w:ascii="Calibri" w:eastAsia="Calibri" w:hAnsi="Calibri" w:cs="Calibri"/>
        </w:rPr>
        <w:t>722 37 49 10</w:t>
      </w:r>
    </w:p>
    <w:p w14:paraId="1261F170" w14:textId="77777777" w:rsidR="00EE6F6B" w:rsidRDefault="00EE6F6B" w:rsidP="00EE6F6B">
      <w:pPr>
        <w:spacing w:after="0"/>
        <w:jc w:val="both"/>
      </w:pPr>
      <w:r>
        <w:rPr>
          <w:rFonts w:ascii="Calibri" w:eastAsia="Calibri" w:hAnsi="Calibri" w:cs="Calibri"/>
          <w:color w:val="0000FF"/>
        </w:rPr>
        <w:t xml:space="preserve"> </w:t>
      </w:r>
    </w:p>
    <w:p w14:paraId="52780737" w14:textId="77777777" w:rsidR="00EE6F6B" w:rsidRDefault="00EE6F6B" w:rsidP="00EE6F6B">
      <w:pPr>
        <w:spacing w:after="0"/>
        <w:jc w:val="both"/>
      </w:pPr>
      <w:r>
        <w:rPr>
          <w:rFonts w:ascii="Calibri" w:eastAsia="Calibri" w:hAnsi="Calibri" w:cs="Calibri"/>
        </w:rPr>
        <w:t>Paula Seoane,</w:t>
      </w:r>
      <w:r>
        <w:rPr>
          <w:rFonts w:ascii="Calibri" w:eastAsia="Calibri" w:hAnsi="Calibri" w:cs="Calibri"/>
          <w:color w:val="00B0F0"/>
        </w:rPr>
        <w:t xml:space="preserve"> </w:t>
      </w:r>
      <w:hyperlink r:id="rId4" w:history="1">
        <w:r>
          <w:rPr>
            <w:rStyle w:val="Hipervnculo"/>
            <w:rFonts w:ascii="Calibri" w:eastAsia="Calibri" w:hAnsi="Calibri" w:cs="Calibri"/>
          </w:rPr>
          <w:t>pseoane@atrevia.com</w:t>
        </w:r>
      </w:hyperlink>
    </w:p>
    <w:p w14:paraId="61B9A54A" w14:textId="77777777" w:rsidR="00EE6F6B" w:rsidRPr="006925CA" w:rsidRDefault="00EE6F6B" w:rsidP="00EE6F6B">
      <w:pPr>
        <w:spacing w:after="0"/>
        <w:jc w:val="both"/>
        <w:rPr>
          <w:rStyle w:val="CharAttribute23"/>
          <w:rFonts w:asciiTheme="minorHAnsi" w:eastAsiaTheme="minorHAnsi"/>
          <w:bCs/>
          <w:szCs w:val="24"/>
        </w:rPr>
      </w:pPr>
      <w:r>
        <w:rPr>
          <w:rFonts w:ascii="Calibri" w:eastAsia="Calibri" w:hAnsi="Calibri" w:cs="Calibri"/>
        </w:rPr>
        <w:t>667 63 34 52</w:t>
      </w:r>
    </w:p>
    <w:p w14:paraId="2A06FFB2" w14:textId="77777777" w:rsidR="00EE6F6B" w:rsidRPr="00FA7FB3" w:rsidRDefault="00EE6F6B" w:rsidP="00EE6F6B">
      <w:pPr>
        <w:pStyle w:val="ParaAttribute7"/>
        <w:rPr>
          <w:rFonts w:ascii="Calibri" w:eastAsia="Calibri" w:hAnsi="Calibri"/>
          <w:b/>
          <w:sz w:val="22"/>
          <w:szCs w:val="22"/>
        </w:rPr>
      </w:pPr>
    </w:p>
    <w:p w14:paraId="698C1425" w14:textId="77777777" w:rsidR="00EE6F6B" w:rsidRDefault="00EE6F6B" w:rsidP="00EE6F6B">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5"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3DEDD065" w14:textId="77777777" w:rsidR="00EE6F6B" w:rsidRDefault="00EE6F6B" w:rsidP="00EE6F6B">
      <w:pPr>
        <w:spacing w:after="0"/>
        <w:jc w:val="both"/>
        <w:rPr>
          <w:rFonts w:ascii="Calibri" w:eastAsia="Calibri" w:hAnsi="Calibri" w:cs="Calibri"/>
        </w:rPr>
      </w:pPr>
      <w:r>
        <w:rPr>
          <w:rFonts w:ascii="Calibri" w:eastAsia="Calibri" w:hAnsi="Calibri" w:cs="Calibri"/>
        </w:rPr>
        <w:t>623 12 45 73</w:t>
      </w:r>
    </w:p>
    <w:p w14:paraId="458BBCE2" w14:textId="77777777" w:rsidR="00EE6F6B" w:rsidRPr="002561D2" w:rsidRDefault="00EE6F6B" w:rsidP="00EE6F6B">
      <w:pPr>
        <w:autoSpaceDE w:val="0"/>
        <w:autoSpaceDN w:val="0"/>
        <w:adjustRightInd w:val="0"/>
        <w:spacing w:after="0" w:line="24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366" w14:textId="77777777" w:rsidR="00D4077F" w:rsidRDefault="00D4077F" w:rsidP="003D5C04">
      <w:pPr>
        <w:spacing w:after="0" w:line="240" w:lineRule="auto"/>
      </w:pPr>
      <w:r>
        <w:separator/>
      </w:r>
    </w:p>
  </w:footnote>
  <w:footnote w:type="continuationSeparator" w:id="0">
    <w:p w14:paraId="600BA882" w14:textId="77777777" w:rsidR="00D4077F" w:rsidRDefault="00D4077F" w:rsidP="003D5C04">
      <w:pPr>
        <w:spacing w:after="0" w:line="240" w:lineRule="auto"/>
      </w:pPr>
      <w:r>
        <w:continuationSeparator/>
      </w:r>
    </w:p>
  </w:footnote>
  <w:footnote w:type="continuationNotice" w:id="1">
    <w:p w14:paraId="21A06F86" w14:textId="77777777" w:rsidR="00D4077F" w:rsidRDefault="00D40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0B18" w14:textId="77777777" w:rsidR="004E5BC1" w:rsidRDefault="004E19C0" w:rsidP="00461C30">
    <w:pPr>
      <w:pStyle w:val="Encabezado"/>
    </w:pPr>
    <w:r>
      <w:rPr>
        <w:noProof/>
        <w:lang w:val="es-ES_tradnl" w:eastAsia="es-ES_tradnl"/>
      </w:rPr>
      <w:drawing>
        <wp:anchor distT="0" distB="0" distL="114300" distR="114300" simplePos="0" relativeHeight="251658240" behindDoc="0" locked="0" layoutInCell="1" allowOverlap="1" wp14:anchorId="7BA287AE" wp14:editId="1606EBC8">
          <wp:simplePos x="0" y="0"/>
          <wp:positionH relativeFrom="margin">
            <wp:align>right</wp:align>
          </wp:positionH>
          <wp:positionV relativeFrom="page">
            <wp:posOffset>297815</wp:posOffset>
          </wp:positionV>
          <wp:extent cx="1886400" cy="500400"/>
          <wp:effectExtent l="0" t="0" r="0" b="0"/>
          <wp:wrapSquare wrapText="bothSides"/>
          <wp:docPr id="1353728452" name="Imagen 135372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B4C77" w14:textId="77777777" w:rsidR="004E5BC1" w:rsidRDefault="004E5BC1" w:rsidP="00461C30">
    <w:pPr>
      <w:pStyle w:val="Encabezado"/>
    </w:pPr>
  </w:p>
  <w:p w14:paraId="24A16CA4" w14:textId="77777777" w:rsidR="004E5BC1" w:rsidRDefault="004E5BC1" w:rsidP="00461C30">
    <w:pPr>
      <w:pStyle w:val="Encabezado"/>
    </w:pPr>
  </w:p>
  <w:p w14:paraId="5FD18959" w14:textId="77777777" w:rsidR="004E5BC1" w:rsidRPr="00461C30" w:rsidRDefault="004E5BC1"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99C"/>
    <w:multiLevelType w:val="hybridMultilevel"/>
    <w:tmpl w:val="4C1092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805C89"/>
    <w:multiLevelType w:val="hybridMultilevel"/>
    <w:tmpl w:val="572C8EF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0BD6016"/>
    <w:multiLevelType w:val="multilevel"/>
    <w:tmpl w:val="DF50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53B42"/>
    <w:multiLevelType w:val="hybridMultilevel"/>
    <w:tmpl w:val="36328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E7436A"/>
    <w:multiLevelType w:val="hybridMultilevel"/>
    <w:tmpl w:val="1BD8A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9605D8"/>
    <w:multiLevelType w:val="hybridMultilevel"/>
    <w:tmpl w:val="AE324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5034777">
    <w:abstractNumId w:val="3"/>
  </w:num>
  <w:num w:numId="2" w16cid:durableId="1134255344">
    <w:abstractNumId w:val="0"/>
  </w:num>
  <w:num w:numId="3" w16cid:durableId="1314598248">
    <w:abstractNumId w:val="1"/>
  </w:num>
  <w:num w:numId="4" w16cid:durableId="407044202">
    <w:abstractNumId w:val="2"/>
  </w:num>
  <w:num w:numId="5" w16cid:durableId="1646085325">
    <w:abstractNumId w:val="4"/>
  </w:num>
  <w:num w:numId="6" w16cid:durableId="178534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04"/>
    <w:rsid w:val="00002227"/>
    <w:rsid w:val="00006DC9"/>
    <w:rsid w:val="0001342A"/>
    <w:rsid w:val="00017EF0"/>
    <w:rsid w:val="0002366A"/>
    <w:rsid w:val="0003225F"/>
    <w:rsid w:val="00035D60"/>
    <w:rsid w:val="00044223"/>
    <w:rsid w:val="00044FE7"/>
    <w:rsid w:val="000459EB"/>
    <w:rsid w:val="0005268D"/>
    <w:rsid w:val="00063B7A"/>
    <w:rsid w:val="0007602F"/>
    <w:rsid w:val="00084FA4"/>
    <w:rsid w:val="00094264"/>
    <w:rsid w:val="00095D39"/>
    <w:rsid w:val="0009724A"/>
    <w:rsid w:val="000A39AA"/>
    <w:rsid w:val="000A4F3B"/>
    <w:rsid w:val="000A6301"/>
    <w:rsid w:val="000A66F2"/>
    <w:rsid w:val="000B1C36"/>
    <w:rsid w:val="000B7847"/>
    <w:rsid w:val="000C290D"/>
    <w:rsid w:val="000C2AB1"/>
    <w:rsid w:val="000C2EEB"/>
    <w:rsid w:val="000D4042"/>
    <w:rsid w:val="000D6E7F"/>
    <w:rsid w:val="000E1444"/>
    <w:rsid w:val="000E442D"/>
    <w:rsid w:val="000E4A6F"/>
    <w:rsid w:val="000E62F9"/>
    <w:rsid w:val="000E6F75"/>
    <w:rsid w:val="000F326A"/>
    <w:rsid w:val="001023BB"/>
    <w:rsid w:val="00117BD2"/>
    <w:rsid w:val="001205C8"/>
    <w:rsid w:val="00127AEA"/>
    <w:rsid w:val="00144CA5"/>
    <w:rsid w:val="00153825"/>
    <w:rsid w:val="00157891"/>
    <w:rsid w:val="00161497"/>
    <w:rsid w:val="00164402"/>
    <w:rsid w:val="00165386"/>
    <w:rsid w:val="00167F26"/>
    <w:rsid w:val="00171E01"/>
    <w:rsid w:val="00187025"/>
    <w:rsid w:val="0019234E"/>
    <w:rsid w:val="001A7EE0"/>
    <w:rsid w:val="001B1417"/>
    <w:rsid w:val="001B40CA"/>
    <w:rsid w:val="001B7087"/>
    <w:rsid w:val="001D5652"/>
    <w:rsid w:val="001D7D34"/>
    <w:rsid w:val="001E627E"/>
    <w:rsid w:val="001F42F8"/>
    <w:rsid w:val="001F5CF8"/>
    <w:rsid w:val="002019DC"/>
    <w:rsid w:val="002052B7"/>
    <w:rsid w:val="002055C0"/>
    <w:rsid w:val="00207895"/>
    <w:rsid w:val="002106D6"/>
    <w:rsid w:val="00215844"/>
    <w:rsid w:val="002211ED"/>
    <w:rsid w:val="00222452"/>
    <w:rsid w:val="00225789"/>
    <w:rsid w:val="00226765"/>
    <w:rsid w:val="0023134C"/>
    <w:rsid w:val="0023171A"/>
    <w:rsid w:val="00231BCE"/>
    <w:rsid w:val="00232C47"/>
    <w:rsid w:val="002365CF"/>
    <w:rsid w:val="00240491"/>
    <w:rsid w:val="002539C3"/>
    <w:rsid w:val="00264249"/>
    <w:rsid w:val="00264F2F"/>
    <w:rsid w:val="0026611E"/>
    <w:rsid w:val="00276C19"/>
    <w:rsid w:val="00282256"/>
    <w:rsid w:val="00284A39"/>
    <w:rsid w:val="002879EF"/>
    <w:rsid w:val="00294051"/>
    <w:rsid w:val="00297E5D"/>
    <w:rsid w:val="002A42AB"/>
    <w:rsid w:val="002B5905"/>
    <w:rsid w:val="002C6C62"/>
    <w:rsid w:val="002D28E3"/>
    <w:rsid w:val="002D5EFD"/>
    <w:rsid w:val="002D7506"/>
    <w:rsid w:val="002E38A0"/>
    <w:rsid w:val="002F10BF"/>
    <w:rsid w:val="002F47B5"/>
    <w:rsid w:val="003011C4"/>
    <w:rsid w:val="00306102"/>
    <w:rsid w:val="00306B05"/>
    <w:rsid w:val="00310DC6"/>
    <w:rsid w:val="00313579"/>
    <w:rsid w:val="00315FDC"/>
    <w:rsid w:val="00321D47"/>
    <w:rsid w:val="003226EF"/>
    <w:rsid w:val="00324BB9"/>
    <w:rsid w:val="00331AC3"/>
    <w:rsid w:val="00334D38"/>
    <w:rsid w:val="00341077"/>
    <w:rsid w:val="00343395"/>
    <w:rsid w:val="00347C9B"/>
    <w:rsid w:val="003618F6"/>
    <w:rsid w:val="0037320B"/>
    <w:rsid w:val="003759F2"/>
    <w:rsid w:val="00377A99"/>
    <w:rsid w:val="00391D6E"/>
    <w:rsid w:val="003A2FD7"/>
    <w:rsid w:val="003A7C35"/>
    <w:rsid w:val="003B11FE"/>
    <w:rsid w:val="003B2E49"/>
    <w:rsid w:val="003D08E5"/>
    <w:rsid w:val="003D34EA"/>
    <w:rsid w:val="003D5C04"/>
    <w:rsid w:val="003D787A"/>
    <w:rsid w:val="003E6AA2"/>
    <w:rsid w:val="003F05CA"/>
    <w:rsid w:val="003F758A"/>
    <w:rsid w:val="003F7805"/>
    <w:rsid w:val="00410BE7"/>
    <w:rsid w:val="00426E23"/>
    <w:rsid w:val="00427B5E"/>
    <w:rsid w:val="00436761"/>
    <w:rsid w:val="00442692"/>
    <w:rsid w:val="004441FC"/>
    <w:rsid w:val="00450CE2"/>
    <w:rsid w:val="00454FE0"/>
    <w:rsid w:val="004656B2"/>
    <w:rsid w:val="00467015"/>
    <w:rsid w:val="00467F35"/>
    <w:rsid w:val="00472193"/>
    <w:rsid w:val="004835A9"/>
    <w:rsid w:val="004836D2"/>
    <w:rsid w:val="004842F3"/>
    <w:rsid w:val="00485801"/>
    <w:rsid w:val="00492B5C"/>
    <w:rsid w:val="00492C58"/>
    <w:rsid w:val="00497C44"/>
    <w:rsid w:val="004A186D"/>
    <w:rsid w:val="004A70A5"/>
    <w:rsid w:val="004A71C3"/>
    <w:rsid w:val="004A7AAD"/>
    <w:rsid w:val="004C2058"/>
    <w:rsid w:val="004C6DC5"/>
    <w:rsid w:val="004D7116"/>
    <w:rsid w:val="004E193C"/>
    <w:rsid w:val="004E19C0"/>
    <w:rsid w:val="004E5BC1"/>
    <w:rsid w:val="004E6036"/>
    <w:rsid w:val="004E71EA"/>
    <w:rsid w:val="004E766F"/>
    <w:rsid w:val="004F0165"/>
    <w:rsid w:val="004F0255"/>
    <w:rsid w:val="004F24AA"/>
    <w:rsid w:val="00505638"/>
    <w:rsid w:val="005056DE"/>
    <w:rsid w:val="00507E63"/>
    <w:rsid w:val="00510223"/>
    <w:rsid w:val="0052005C"/>
    <w:rsid w:val="00524E37"/>
    <w:rsid w:val="00525A4B"/>
    <w:rsid w:val="00530D3F"/>
    <w:rsid w:val="00533397"/>
    <w:rsid w:val="00537EF6"/>
    <w:rsid w:val="00545C80"/>
    <w:rsid w:val="00550D0B"/>
    <w:rsid w:val="00552FB6"/>
    <w:rsid w:val="00565020"/>
    <w:rsid w:val="00565096"/>
    <w:rsid w:val="00571B30"/>
    <w:rsid w:val="00580068"/>
    <w:rsid w:val="005865F0"/>
    <w:rsid w:val="00587D32"/>
    <w:rsid w:val="00590D82"/>
    <w:rsid w:val="005975E2"/>
    <w:rsid w:val="005A3166"/>
    <w:rsid w:val="005B3891"/>
    <w:rsid w:val="005C0FD6"/>
    <w:rsid w:val="005C55FF"/>
    <w:rsid w:val="005D57E0"/>
    <w:rsid w:val="005E0CAE"/>
    <w:rsid w:val="005E2680"/>
    <w:rsid w:val="005E47AB"/>
    <w:rsid w:val="005E4D4D"/>
    <w:rsid w:val="005F2622"/>
    <w:rsid w:val="00600A2A"/>
    <w:rsid w:val="006010C9"/>
    <w:rsid w:val="0060672E"/>
    <w:rsid w:val="006337C3"/>
    <w:rsid w:val="00641552"/>
    <w:rsid w:val="006474FA"/>
    <w:rsid w:val="006526DE"/>
    <w:rsid w:val="00652BCC"/>
    <w:rsid w:val="00656245"/>
    <w:rsid w:val="00666A7E"/>
    <w:rsid w:val="0066766A"/>
    <w:rsid w:val="0067034D"/>
    <w:rsid w:val="0067395A"/>
    <w:rsid w:val="006744F6"/>
    <w:rsid w:val="00680C8C"/>
    <w:rsid w:val="006841DF"/>
    <w:rsid w:val="00684A38"/>
    <w:rsid w:val="00684B46"/>
    <w:rsid w:val="006858D6"/>
    <w:rsid w:val="0068758A"/>
    <w:rsid w:val="006925CA"/>
    <w:rsid w:val="006A086D"/>
    <w:rsid w:val="006A5069"/>
    <w:rsid w:val="006B2EB3"/>
    <w:rsid w:val="006C7117"/>
    <w:rsid w:val="006C751C"/>
    <w:rsid w:val="006D0676"/>
    <w:rsid w:val="006E331E"/>
    <w:rsid w:val="006E3F17"/>
    <w:rsid w:val="0070496E"/>
    <w:rsid w:val="00706623"/>
    <w:rsid w:val="00722E23"/>
    <w:rsid w:val="00727166"/>
    <w:rsid w:val="00735752"/>
    <w:rsid w:val="00736E71"/>
    <w:rsid w:val="00745E58"/>
    <w:rsid w:val="0074672D"/>
    <w:rsid w:val="00754DE4"/>
    <w:rsid w:val="00760BDC"/>
    <w:rsid w:val="00761BD6"/>
    <w:rsid w:val="00765C49"/>
    <w:rsid w:val="00770C1A"/>
    <w:rsid w:val="0077388F"/>
    <w:rsid w:val="00780BB0"/>
    <w:rsid w:val="00782B36"/>
    <w:rsid w:val="00783E2F"/>
    <w:rsid w:val="0079290B"/>
    <w:rsid w:val="00792D8D"/>
    <w:rsid w:val="0079573C"/>
    <w:rsid w:val="007A1D20"/>
    <w:rsid w:val="007B4EFF"/>
    <w:rsid w:val="007B6EC2"/>
    <w:rsid w:val="007D409A"/>
    <w:rsid w:val="007D4F0C"/>
    <w:rsid w:val="007E116B"/>
    <w:rsid w:val="007E1BF3"/>
    <w:rsid w:val="007E3727"/>
    <w:rsid w:val="007E3ABA"/>
    <w:rsid w:val="007F0ED7"/>
    <w:rsid w:val="007F203F"/>
    <w:rsid w:val="007F292C"/>
    <w:rsid w:val="007F71FC"/>
    <w:rsid w:val="0080281D"/>
    <w:rsid w:val="00803BBC"/>
    <w:rsid w:val="0080425B"/>
    <w:rsid w:val="00804BC3"/>
    <w:rsid w:val="00811501"/>
    <w:rsid w:val="00821832"/>
    <w:rsid w:val="008369AA"/>
    <w:rsid w:val="00836D04"/>
    <w:rsid w:val="00840A89"/>
    <w:rsid w:val="008566DA"/>
    <w:rsid w:val="00857FAE"/>
    <w:rsid w:val="008626C3"/>
    <w:rsid w:val="00864575"/>
    <w:rsid w:val="00873C20"/>
    <w:rsid w:val="008742BB"/>
    <w:rsid w:val="00877F18"/>
    <w:rsid w:val="00880104"/>
    <w:rsid w:val="00881DAD"/>
    <w:rsid w:val="00891B82"/>
    <w:rsid w:val="008A4C4C"/>
    <w:rsid w:val="008C0E8D"/>
    <w:rsid w:val="008D005C"/>
    <w:rsid w:val="008E1A98"/>
    <w:rsid w:val="008E51DA"/>
    <w:rsid w:val="008E56B3"/>
    <w:rsid w:val="0090074A"/>
    <w:rsid w:val="00901ED5"/>
    <w:rsid w:val="009024FB"/>
    <w:rsid w:val="00903368"/>
    <w:rsid w:val="00912BD0"/>
    <w:rsid w:val="00920F7F"/>
    <w:rsid w:val="00922E50"/>
    <w:rsid w:val="00923E66"/>
    <w:rsid w:val="00931494"/>
    <w:rsid w:val="00934187"/>
    <w:rsid w:val="009401D5"/>
    <w:rsid w:val="009431AB"/>
    <w:rsid w:val="00945325"/>
    <w:rsid w:val="0095048E"/>
    <w:rsid w:val="00962D76"/>
    <w:rsid w:val="00964387"/>
    <w:rsid w:val="009658F8"/>
    <w:rsid w:val="009662BC"/>
    <w:rsid w:val="00971DFB"/>
    <w:rsid w:val="009733D8"/>
    <w:rsid w:val="00975401"/>
    <w:rsid w:val="00982DAF"/>
    <w:rsid w:val="00985880"/>
    <w:rsid w:val="00985C92"/>
    <w:rsid w:val="00987BDA"/>
    <w:rsid w:val="00990F9D"/>
    <w:rsid w:val="009974BE"/>
    <w:rsid w:val="009979F6"/>
    <w:rsid w:val="009A14F1"/>
    <w:rsid w:val="009B0FA8"/>
    <w:rsid w:val="009B3592"/>
    <w:rsid w:val="009C20E5"/>
    <w:rsid w:val="009C2F0A"/>
    <w:rsid w:val="009C4CB9"/>
    <w:rsid w:val="009C7081"/>
    <w:rsid w:val="009D1347"/>
    <w:rsid w:val="009D32BB"/>
    <w:rsid w:val="009D43D7"/>
    <w:rsid w:val="009E0948"/>
    <w:rsid w:val="009E0EC0"/>
    <w:rsid w:val="009E40E8"/>
    <w:rsid w:val="009E6EC2"/>
    <w:rsid w:val="00A043A6"/>
    <w:rsid w:val="00A0759E"/>
    <w:rsid w:val="00A102CB"/>
    <w:rsid w:val="00A13344"/>
    <w:rsid w:val="00A13E68"/>
    <w:rsid w:val="00A1779C"/>
    <w:rsid w:val="00A202F5"/>
    <w:rsid w:val="00A22AB4"/>
    <w:rsid w:val="00A26473"/>
    <w:rsid w:val="00A27B51"/>
    <w:rsid w:val="00A3633B"/>
    <w:rsid w:val="00A50977"/>
    <w:rsid w:val="00A51A1D"/>
    <w:rsid w:val="00A51F2C"/>
    <w:rsid w:val="00A62FFC"/>
    <w:rsid w:val="00A63AA9"/>
    <w:rsid w:val="00A67789"/>
    <w:rsid w:val="00A73A43"/>
    <w:rsid w:val="00A7570A"/>
    <w:rsid w:val="00A80F18"/>
    <w:rsid w:val="00A833A3"/>
    <w:rsid w:val="00A84638"/>
    <w:rsid w:val="00A93C5A"/>
    <w:rsid w:val="00A93E6F"/>
    <w:rsid w:val="00AA14A8"/>
    <w:rsid w:val="00AA5A58"/>
    <w:rsid w:val="00AB0E6A"/>
    <w:rsid w:val="00AB309C"/>
    <w:rsid w:val="00AC3515"/>
    <w:rsid w:val="00AC3F9E"/>
    <w:rsid w:val="00AC4111"/>
    <w:rsid w:val="00AC7016"/>
    <w:rsid w:val="00AD5583"/>
    <w:rsid w:val="00AE4839"/>
    <w:rsid w:val="00AF2093"/>
    <w:rsid w:val="00AF7112"/>
    <w:rsid w:val="00B07DBB"/>
    <w:rsid w:val="00B10A65"/>
    <w:rsid w:val="00B217C1"/>
    <w:rsid w:val="00B234BE"/>
    <w:rsid w:val="00B306CE"/>
    <w:rsid w:val="00B45AC4"/>
    <w:rsid w:val="00B6157A"/>
    <w:rsid w:val="00B61F88"/>
    <w:rsid w:val="00B6630A"/>
    <w:rsid w:val="00B7065F"/>
    <w:rsid w:val="00B81283"/>
    <w:rsid w:val="00B84653"/>
    <w:rsid w:val="00B86EC2"/>
    <w:rsid w:val="00B86EFC"/>
    <w:rsid w:val="00B9303B"/>
    <w:rsid w:val="00B93A2B"/>
    <w:rsid w:val="00B97552"/>
    <w:rsid w:val="00BA527F"/>
    <w:rsid w:val="00BA7575"/>
    <w:rsid w:val="00BB1ABF"/>
    <w:rsid w:val="00BB1B14"/>
    <w:rsid w:val="00BB642F"/>
    <w:rsid w:val="00BC0705"/>
    <w:rsid w:val="00BC66F0"/>
    <w:rsid w:val="00BD3CA0"/>
    <w:rsid w:val="00BE4015"/>
    <w:rsid w:val="00BF34FF"/>
    <w:rsid w:val="00BF4A2C"/>
    <w:rsid w:val="00C011A6"/>
    <w:rsid w:val="00C01974"/>
    <w:rsid w:val="00C07214"/>
    <w:rsid w:val="00C10729"/>
    <w:rsid w:val="00C17C29"/>
    <w:rsid w:val="00C263EB"/>
    <w:rsid w:val="00C34C01"/>
    <w:rsid w:val="00C56F84"/>
    <w:rsid w:val="00C7159E"/>
    <w:rsid w:val="00C7277E"/>
    <w:rsid w:val="00C730F3"/>
    <w:rsid w:val="00C750D0"/>
    <w:rsid w:val="00C77491"/>
    <w:rsid w:val="00C943F0"/>
    <w:rsid w:val="00C96671"/>
    <w:rsid w:val="00CA0324"/>
    <w:rsid w:val="00CA1A77"/>
    <w:rsid w:val="00CA248E"/>
    <w:rsid w:val="00CA4E26"/>
    <w:rsid w:val="00CB0933"/>
    <w:rsid w:val="00CB1FAE"/>
    <w:rsid w:val="00CB5BF5"/>
    <w:rsid w:val="00CC3F29"/>
    <w:rsid w:val="00CC64B3"/>
    <w:rsid w:val="00CD0B20"/>
    <w:rsid w:val="00CD4ACA"/>
    <w:rsid w:val="00CE4E37"/>
    <w:rsid w:val="00CF29A3"/>
    <w:rsid w:val="00CF7991"/>
    <w:rsid w:val="00D01B10"/>
    <w:rsid w:val="00D139F1"/>
    <w:rsid w:val="00D21EFC"/>
    <w:rsid w:val="00D23CE2"/>
    <w:rsid w:val="00D25568"/>
    <w:rsid w:val="00D33398"/>
    <w:rsid w:val="00D4077F"/>
    <w:rsid w:val="00D447DF"/>
    <w:rsid w:val="00D44B52"/>
    <w:rsid w:val="00D53DE8"/>
    <w:rsid w:val="00D5794F"/>
    <w:rsid w:val="00D704B1"/>
    <w:rsid w:val="00D719E5"/>
    <w:rsid w:val="00D74CBD"/>
    <w:rsid w:val="00D7767C"/>
    <w:rsid w:val="00D820C4"/>
    <w:rsid w:val="00D8646E"/>
    <w:rsid w:val="00D86F3F"/>
    <w:rsid w:val="00D904B0"/>
    <w:rsid w:val="00D93F00"/>
    <w:rsid w:val="00DA004F"/>
    <w:rsid w:val="00DB1615"/>
    <w:rsid w:val="00DB4678"/>
    <w:rsid w:val="00DC20C5"/>
    <w:rsid w:val="00DD08AA"/>
    <w:rsid w:val="00DD1424"/>
    <w:rsid w:val="00DD7439"/>
    <w:rsid w:val="00DE0384"/>
    <w:rsid w:val="00DE12E8"/>
    <w:rsid w:val="00DE2719"/>
    <w:rsid w:val="00DE4E4C"/>
    <w:rsid w:val="00DF0A4B"/>
    <w:rsid w:val="00DF408A"/>
    <w:rsid w:val="00DF5976"/>
    <w:rsid w:val="00DF7840"/>
    <w:rsid w:val="00E0381F"/>
    <w:rsid w:val="00E03EDD"/>
    <w:rsid w:val="00E20F28"/>
    <w:rsid w:val="00E255F9"/>
    <w:rsid w:val="00E25823"/>
    <w:rsid w:val="00E25D7D"/>
    <w:rsid w:val="00E35BB1"/>
    <w:rsid w:val="00E41194"/>
    <w:rsid w:val="00E45400"/>
    <w:rsid w:val="00E5730D"/>
    <w:rsid w:val="00E61F45"/>
    <w:rsid w:val="00E66EDF"/>
    <w:rsid w:val="00E72857"/>
    <w:rsid w:val="00E76801"/>
    <w:rsid w:val="00E775DE"/>
    <w:rsid w:val="00E83A1E"/>
    <w:rsid w:val="00E91F6E"/>
    <w:rsid w:val="00E92327"/>
    <w:rsid w:val="00E97C2B"/>
    <w:rsid w:val="00EA49E6"/>
    <w:rsid w:val="00EB1250"/>
    <w:rsid w:val="00EB2DB1"/>
    <w:rsid w:val="00EC46BF"/>
    <w:rsid w:val="00EC5506"/>
    <w:rsid w:val="00ED1C19"/>
    <w:rsid w:val="00ED3D8C"/>
    <w:rsid w:val="00ED4DC2"/>
    <w:rsid w:val="00EE6171"/>
    <w:rsid w:val="00EE6F6B"/>
    <w:rsid w:val="00EF3F9F"/>
    <w:rsid w:val="00EF4153"/>
    <w:rsid w:val="00EF7628"/>
    <w:rsid w:val="00F00376"/>
    <w:rsid w:val="00F04723"/>
    <w:rsid w:val="00F116BD"/>
    <w:rsid w:val="00F2418D"/>
    <w:rsid w:val="00F26495"/>
    <w:rsid w:val="00F312E9"/>
    <w:rsid w:val="00F3625E"/>
    <w:rsid w:val="00F411D0"/>
    <w:rsid w:val="00F61A36"/>
    <w:rsid w:val="00F62CCE"/>
    <w:rsid w:val="00F6796C"/>
    <w:rsid w:val="00F67BC5"/>
    <w:rsid w:val="00F70D2E"/>
    <w:rsid w:val="00F71081"/>
    <w:rsid w:val="00F730AF"/>
    <w:rsid w:val="00F933E2"/>
    <w:rsid w:val="00F93CD0"/>
    <w:rsid w:val="00F96971"/>
    <w:rsid w:val="00F96E88"/>
    <w:rsid w:val="00FA1081"/>
    <w:rsid w:val="00FB2628"/>
    <w:rsid w:val="00FB537B"/>
    <w:rsid w:val="00FD17F1"/>
    <w:rsid w:val="00FD461F"/>
    <w:rsid w:val="00FD686F"/>
    <w:rsid w:val="00FE66C7"/>
    <w:rsid w:val="00FE75A8"/>
    <w:rsid w:val="03CEEA48"/>
    <w:rsid w:val="044C05EA"/>
    <w:rsid w:val="07C9F4F5"/>
    <w:rsid w:val="1BAC05CE"/>
    <w:rsid w:val="34C07D02"/>
    <w:rsid w:val="34E489C8"/>
    <w:rsid w:val="3F6B7DBA"/>
    <w:rsid w:val="51319AF4"/>
    <w:rsid w:val="5BCA25DB"/>
    <w:rsid w:val="685795C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0E9E5"/>
  <w15:chartTrackingRefBased/>
  <w15:docId w15:val="{6B181315-D83D-4890-B336-C5D5376F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5C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5C04"/>
  </w:style>
  <w:style w:type="paragraph" w:styleId="Prrafodelista">
    <w:name w:val="List Paragraph"/>
    <w:aliases w:val="Arial 8,Párrafo de lista1"/>
    <w:basedOn w:val="Normal"/>
    <w:link w:val="PrrafodelistaCar"/>
    <w:uiPriority w:val="34"/>
    <w:qFormat/>
    <w:rsid w:val="003D5C04"/>
    <w:pPr>
      <w:ind w:left="720"/>
      <w:contextualSpacing/>
    </w:pPr>
  </w:style>
  <w:style w:type="paragraph" w:customStyle="1" w:styleId="ParaAttribute5">
    <w:name w:val="ParaAttribute5"/>
    <w:rsid w:val="003D5C04"/>
    <w:pPr>
      <w:wordWrap w:val="0"/>
      <w:spacing w:line="240" w:lineRule="auto"/>
      <w:jc w:val="both"/>
    </w:pPr>
    <w:rPr>
      <w:rFonts w:ascii="Times New Roman" w:eastAsia="Batang" w:hAnsi="Times New Roman" w:cs="Times New Roman"/>
      <w:sz w:val="20"/>
      <w:szCs w:val="20"/>
      <w:lang w:eastAsia="es-ES"/>
    </w:rPr>
  </w:style>
  <w:style w:type="paragraph" w:customStyle="1" w:styleId="ParaAttribute7">
    <w:name w:val="ParaAttribute7"/>
    <w:rsid w:val="003D5C04"/>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3D5C04"/>
    <w:rPr>
      <w:rFonts w:ascii="Calibri" w:eastAsia="Calibri"/>
      <w:b/>
      <w:sz w:val="24"/>
    </w:rPr>
  </w:style>
  <w:style w:type="character" w:customStyle="1" w:styleId="CharAttribute24">
    <w:name w:val="CharAttribute24"/>
    <w:rsid w:val="003D5C04"/>
    <w:rPr>
      <w:rFonts w:ascii="Calibri" w:eastAsia="Calibri"/>
      <w:sz w:val="24"/>
    </w:rPr>
  </w:style>
  <w:style w:type="character" w:customStyle="1" w:styleId="CharAttribute25">
    <w:name w:val="CharAttribute25"/>
    <w:rsid w:val="003D5C04"/>
    <w:rPr>
      <w:rFonts w:ascii="Calibri" w:eastAsia="Calibri"/>
      <w:color w:val="00B0F0"/>
      <w:sz w:val="24"/>
    </w:rPr>
  </w:style>
  <w:style w:type="character" w:customStyle="1" w:styleId="CharAttribute27">
    <w:name w:val="CharAttribute27"/>
    <w:rsid w:val="003D5C04"/>
    <w:rPr>
      <w:rFonts w:ascii="Calibri" w:eastAsia="Calibri"/>
      <w:color w:val="00B0F0"/>
      <w:sz w:val="24"/>
    </w:rPr>
  </w:style>
  <w:style w:type="character" w:styleId="Hipervnculo">
    <w:name w:val="Hyperlink"/>
    <w:basedOn w:val="Fuentedeprrafopredeter"/>
    <w:uiPriority w:val="99"/>
    <w:unhideWhenUsed/>
    <w:rsid w:val="003D5C04"/>
    <w:rPr>
      <w:color w:val="0000FF"/>
      <w:u w:val="single"/>
    </w:rPr>
  </w:style>
  <w:style w:type="paragraph" w:styleId="Textonotaalfinal">
    <w:name w:val="endnote text"/>
    <w:basedOn w:val="Normal"/>
    <w:link w:val="TextonotaalfinalCar"/>
    <w:uiPriority w:val="99"/>
    <w:semiHidden/>
    <w:unhideWhenUsed/>
    <w:rsid w:val="003D5C0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5C04"/>
    <w:rPr>
      <w:sz w:val="20"/>
      <w:szCs w:val="20"/>
    </w:rPr>
  </w:style>
  <w:style w:type="character" w:styleId="Refdenotaalfinal">
    <w:name w:val="endnote reference"/>
    <w:basedOn w:val="Fuentedeprrafopredeter"/>
    <w:uiPriority w:val="99"/>
    <w:semiHidden/>
    <w:unhideWhenUsed/>
    <w:rsid w:val="003D5C04"/>
    <w:rPr>
      <w:vertAlign w:val="superscript"/>
    </w:rPr>
  </w:style>
  <w:style w:type="table" w:styleId="Tablanormal1">
    <w:name w:val="Plain Table 1"/>
    <w:basedOn w:val="Tablanormal"/>
    <w:uiPriority w:val="41"/>
    <w:rsid w:val="003D5C04"/>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rsid w:val="003D5C04"/>
    <w:pPr>
      <w:suppressAutoHyphens/>
      <w:autoSpaceDN w:val="0"/>
      <w:spacing w:after="0" w:line="272" w:lineRule="exact"/>
      <w:ind w:left="107"/>
      <w:textAlignment w:val="baseline"/>
    </w:pPr>
    <w:rPr>
      <w:rFonts w:ascii="Calibri" w:eastAsia="Calibri" w:hAnsi="Calibri" w:cs="Calibri"/>
      <w:kern w:val="3"/>
    </w:rPr>
  </w:style>
  <w:style w:type="paragraph" w:customStyle="1" w:styleId="Textbody">
    <w:name w:val="Text body"/>
    <w:basedOn w:val="Normal"/>
    <w:rsid w:val="00B84653"/>
    <w:pPr>
      <w:suppressAutoHyphens/>
      <w:autoSpaceDN w:val="0"/>
      <w:spacing w:before="159" w:after="0" w:line="240" w:lineRule="auto"/>
      <w:ind w:left="222"/>
      <w:textAlignment w:val="baseline"/>
    </w:pPr>
    <w:rPr>
      <w:rFonts w:ascii="Calibri" w:eastAsia="Calibri" w:hAnsi="Calibri" w:cs="Calibri"/>
      <w:b/>
      <w:bCs/>
      <w:kern w:val="3"/>
    </w:rPr>
  </w:style>
  <w:style w:type="paragraph" w:styleId="Revisin">
    <w:name w:val="Revision"/>
    <w:hidden/>
    <w:uiPriority w:val="99"/>
    <w:semiHidden/>
    <w:rsid w:val="00AA14A8"/>
    <w:pPr>
      <w:spacing w:after="0" w:line="240" w:lineRule="auto"/>
    </w:pPr>
  </w:style>
  <w:style w:type="character" w:styleId="Mencinsinresolver">
    <w:name w:val="Unresolved Mention"/>
    <w:basedOn w:val="Fuentedeprrafopredeter"/>
    <w:uiPriority w:val="99"/>
    <w:semiHidden/>
    <w:unhideWhenUsed/>
    <w:rsid w:val="00225789"/>
    <w:rPr>
      <w:color w:val="605E5C"/>
      <w:shd w:val="clear" w:color="auto" w:fill="E1DFDD"/>
    </w:rPr>
  </w:style>
  <w:style w:type="paragraph" w:styleId="Piedepgina">
    <w:name w:val="footer"/>
    <w:basedOn w:val="Normal"/>
    <w:link w:val="PiedepginaCar"/>
    <w:uiPriority w:val="99"/>
    <w:unhideWhenUsed/>
    <w:rsid w:val="00590D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D82"/>
  </w:style>
  <w:style w:type="character" w:styleId="Refdecomentario">
    <w:name w:val="annotation reference"/>
    <w:basedOn w:val="Fuentedeprrafopredeter"/>
    <w:uiPriority w:val="99"/>
    <w:semiHidden/>
    <w:unhideWhenUsed/>
    <w:rsid w:val="00B86EFC"/>
    <w:rPr>
      <w:sz w:val="16"/>
      <w:szCs w:val="16"/>
    </w:rPr>
  </w:style>
  <w:style w:type="paragraph" w:styleId="Textocomentario">
    <w:name w:val="annotation text"/>
    <w:basedOn w:val="Normal"/>
    <w:link w:val="TextocomentarioCar"/>
    <w:uiPriority w:val="99"/>
    <w:unhideWhenUsed/>
    <w:rsid w:val="00B86EFC"/>
    <w:pPr>
      <w:spacing w:line="240" w:lineRule="auto"/>
    </w:pPr>
    <w:rPr>
      <w:sz w:val="20"/>
      <w:szCs w:val="20"/>
    </w:rPr>
  </w:style>
  <w:style w:type="character" w:customStyle="1" w:styleId="TextocomentarioCar">
    <w:name w:val="Texto comentario Car"/>
    <w:basedOn w:val="Fuentedeprrafopredeter"/>
    <w:link w:val="Textocomentario"/>
    <w:uiPriority w:val="99"/>
    <w:rsid w:val="00B86EFC"/>
    <w:rPr>
      <w:sz w:val="20"/>
      <w:szCs w:val="20"/>
    </w:rPr>
  </w:style>
  <w:style w:type="paragraph" w:styleId="Asuntodelcomentario">
    <w:name w:val="annotation subject"/>
    <w:basedOn w:val="Textocomentario"/>
    <w:next w:val="Textocomentario"/>
    <w:link w:val="AsuntodelcomentarioCar"/>
    <w:uiPriority w:val="99"/>
    <w:semiHidden/>
    <w:unhideWhenUsed/>
    <w:rsid w:val="00B86EFC"/>
    <w:rPr>
      <w:b/>
      <w:bCs/>
    </w:rPr>
  </w:style>
  <w:style w:type="character" w:customStyle="1" w:styleId="AsuntodelcomentarioCar">
    <w:name w:val="Asunto del comentario Car"/>
    <w:basedOn w:val="TextocomentarioCar"/>
    <w:link w:val="Asuntodelcomentario"/>
    <w:uiPriority w:val="99"/>
    <w:semiHidden/>
    <w:rsid w:val="00B86EFC"/>
    <w:rPr>
      <w:b/>
      <w:bCs/>
      <w:sz w:val="20"/>
      <w:szCs w:val="20"/>
    </w:rPr>
  </w:style>
  <w:style w:type="character" w:customStyle="1" w:styleId="ref-journal">
    <w:name w:val="ref-journal"/>
    <w:basedOn w:val="Fuentedeprrafopredeter"/>
    <w:rsid w:val="00530D3F"/>
  </w:style>
  <w:style w:type="paragraph" w:styleId="NormalWeb">
    <w:name w:val="Normal (Web)"/>
    <w:basedOn w:val="Normal"/>
    <w:uiPriority w:val="99"/>
    <w:semiHidden/>
    <w:unhideWhenUsed/>
    <w:rsid w:val="004656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79290B"/>
    <w:rPr>
      <w:color w:val="954F72" w:themeColor="followedHyperlink"/>
      <w:u w:val="single"/>
    </w:rPr>
  </w:style>
  <w:style w:type="character" w:customStyle="1" w:styleId="PrrafodelistaCar">
    <w:name w:val="Párrafo de lista Car"/>
    <w:aliases w:val="Arial 8 Car,Párrafo de lista1 Car"/>
    <w:link w:val="Prrafodelista"/>
    <w:uiPriority w:val="34"/>
    <w:locked/>
    <w:rsid w:val="00347C9B"/>
  </w:style>
  <w:style w:type="paragraph" w:customStyle="1" w:styleId="pf0">
    <w:name w:val="pf0"/>
    <w:basedOn w:val="Normal"/>
    <w:rsid w:val="00127A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127AEA"/>
    <w:rPr>
      <w:rFonts w:ascii="Segoe UI" w:hAnsi="Segoe UI" w:cs="Segoe UI" w:hint="default"/>
      <w:sz w:val="18"/>
      <w:szCs w:val="18"/>
    </w:rPr>
  </w:style>
  <w:style w:type="character" w:customStyle="1" w:styleId="normaltextrun">
    <w:name w:val="normaltextrun"/>
    <w:basedOn w:val="Fuentedeprrafopredeter"/>
    <w:rsid w:val="00EE6F6B"/>
  </w:style>
  <w:style w:type="paragraph" w:styleId="Textonotapie">
    <w:name w:val="footnote text"/>
    <w:basedOn w:val="Normal"/>
    <w:link w:val="TextonotapieCar"/>
    <w:uiPriority w:val="99"/>
    <w:semiHidden/>
    <w:unhideWhenUsed/>
    <w:rsid w:val="002317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71A"/>
    <w:rPr>
      <w:sz w:val="20"/>
      <w:szCs w:val="20"/>
    </w:rPr>
  </w:style>
  <w:style w:type="character" w:styleId="Refdenotaalpie">
    <w:name w:val="footnote reference"/>
    <w:basedOn w:val="Fuentedeprrafopredeter"/>
    <w:uiPriority w:val="99"/>
    <w:semiHidden/>
    <w:unhideWhenUsed/>
    <w:rsid w:val="0023171A"/>
    <w:rPr>
      <w:vertAlign w:val="superscript"/>
    </w:rPr>
  </w:style>
  <w:style w:type="character" w:customStyle="1" w:styleId="eop">
    <w:name w:val="eop"/>
    <w:basedOn w:val="Fuentedeprrafopredeter"/>
    <w:rsid w:val="00B3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431">
      <w:bodyDiv w:val="1"/>
      <w:marLeft w:val="0"/>
      <w:marRight w:val="0"/>
      <w:marTop w:val="0"/>
      <w:marBottom w:val="0"/>
      <w:divBdr>
        <w:top w:val="none" w:sz="0" w:space="0" w:color="auto"/>
        <w:left w:val="none" w:sz="0" w:space="0" w:color="auto"/>
        <w:bottom w:val="none" w:sz="0" w:space="0" w:color="auto"/>
        <w:right w:val="none" w:sz="0" w:space="0" w:color="auto"/>
      </w:divBdr>
    </w:div>
    <w:div w:id="164639191">
      <w:bodyDiv w:val="1"/>
      <w:marLeft w:val="0"/>
      <w:marRight w:val="0"/>
      <w:marTop w:val="0"/>
      <w:marBottom w:val="0"/>
      <w:divBdr>
        <w:top w:val="none" w:sz="0" w:space="0" w:color="auto"/>
        <w:left w:val="none" w:sz="0" w:space="0" w:color="auto"/>
        <w:bottom w:val="none" w:sz="0" w:space="0" w:color="auto"/>
        <w:right w:val="none" w:sz="0" w:space="0" w:color="auto"/>
      </w:divBdr>
    </w:div>
    <w:div w:id="402338422">
      <w:bodyDiv w:val="1"/>
      <w:marLeft w:val="0"/>
      <w:marRight w:val="0"/>
      <w:marTop w:val="0"/>
      <w:marBottom w:val="0"/>
      <w:divBdr>
        <w:top w:val="none" w:sz="0" w:space="0" w:color="auto"/>
        <w:left w:val="none" w:sz="0" w:space="0" w:color="auto"/>
        <w:bottom w:val="none" w:sz="0" w:space="0" w:color="auto"/>
        <w:right w:val="none" w:sz="0" w:space="0" w:color="auto"/>
      </w:divBdr>
    </w:div>
    <w:div w:id="1181239276">
      <w:bodyDiv w:val="1"/>
      <w:marLeft w:val="0"/>
      <w:marRight w:val="0"/>
      <w:marTop w:val="0"/>
      <w:marBottom w:val="0"/>
      <w:divBdr>
        <w:top w:val="none" w:sz="0" w:space="0" w:color="auto"/>
        <w:left w:val="none" w:sz="0" w:space="0" w:color="auto"/>
        <w:bottom w:val="none" w:sz="0" w:space="0" w:color="auto"/>
        <w:right w:val="none" w:sz="0" w:space="0" w:color="auto"/>
      </w:divBdr>
    </w:div>
    <w:div w:id="1208295985">
      <w:bodyDiv w:val="1"/>
      <w:marLeft w:val="0"/>
      <w:marRight w:val="0"/>
      <w:marTop w:val="0"/>
      <w:marBottom w:val="0"/>
      <w:divBdr>
        <w:top w:val="none" w:sz="0" w:space="0" w:color="auto"/>
        <w:left w:val="none" w:sz="0" w:space="0" w:color="auto"/>
        <w:bottom w:val="none" w:sz="0" w:space="0" w:color="auto"/>
        <w:right w:val="none" w:sz="0" w:space="0" w:color="auto"/>
      </w:divBdr>
    </w:div>
    <w:div w:id="15160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icura.es/clinicas/vetsia-hospital-veterinar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icur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mgantunez@atrevia.com" TargetMode="External"/><Relationship Id="rId2" Type="http://schemas.openxmlformats.org/officeDocument/2006/relationships/hyperlink" Target="http://www.anicuragroup.com" TargetMode="External"/><Relationship Id="rId1" Type="http://schemas.openxmlformats.org/officeDocument/2006/relationships/hyperlink" Target="https://doi.org/10.3390/ani13132110" TargetMode="External"/><Relationship Id="rId5" Type="http://schemas.openxmlformats.org/officeDocument/2006/relationships/hyperlink" Target="mailto:vflorez@atrevia.com" TargetMode="External"/><Relationship Id="rId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a44b9a2a1164220dd3ff46d67a50421a">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fbf909cffb7fe6b4ff2305b62e9625ef"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4FFB9-D48D-4B20-B331-91368C7B7A76}">
  <ds:schemaRefs>
    <ds:schemaRef ds:uri="http://schemas.openxmlformats.org/officeDocument/2006/bibliography"/>
  </ds:schemaRefs>
</ds:datastoreItem>
</file>

<file path=customXml/itemProps2.xml><?xml version="1.0" encoding="utf-8"?>
<ds:datastoreItem xmlns:ds="http://schemas.openxmlformats.org/officeDocument/2006/customXml" ds:itemID="{FFD60715-3B77-4B8D-B44E-67DCF7D5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F6A03-18C6-4E5F-92EB-E40EBB771393}">
  <ds:schemaRefs>
    <ds:schemaRef ds:uri="http://schemas.microsoft.com/office/2006/metadata/properties"/>
    <ds:schemaRef ds:uri="http://schemas.microsoft.com/office/infopath/2007/PartnerControls"/>
    <ds:schemaRef ds:uri="cfaf7a7c-573f-4f8d-a03a-88aa06b7e975"/>
  </ds:schemaRefs>
</ds:datastoreItem>
</file>

<file path=customXml/itemProps4.xml><?xml version="1.0" encoding="utf-8"?>
<ds:datastoreItem xmlns:ds="http://schemas.openxmlformats.org/officeDocument/2006/customXml" ds:itemID="{AA70E401-3917-44B3-8902-91209D722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Flórez Romero</dc:creator>
  <cp:keywords/>
  <dc:description/>
  <cp:lastModifiedBy>Valentina Flórez Romero</cp:lastModifiedBy>
  <cp:revision>5</cp:revision>
  <dcterms:created xsi:type="dcterms:W3CDTF">2023-10-23T17:03:00Z</dcterms:created>
  <dcterms:modified xsi:type="dcterms:W3CDTF">2023-11-06T08:32:00Z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GrammarlyDocumentId">
    <vt:lpwstr>4488a98bebc160b1706ddfb33461a8d6dc37ce27bddd0faef40a4ff33c08779d</vt:lpwstr>
  </property>
</Properties>
</file>