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EF4C" w14:textId="77777777" w:rsidR="00EA2F2F" w:rsidRDefault="00EA2F2F">
      <w:pPr>
        <w:spacing w:after="0" w:line="240" w:lineRule="auto"/>
        <w:jc w:val="center"/>
        <w:rPr>
          <w:b/>
          <w:color w:val="365F91"/>
          <w:sz w:val="10"/>
          <w:szCs w:val="10"/>
        </w:rPr>
      </w:pPr>
    </w:p>
    <w:p w14:paraId="650721FB" w14:textId="77777777" w:rsidR="00EA2F2F" w:rsidRDefault="00EA2F2F">
      <w:pPr>
        <w:spacing w:after="0" w:line="240" w:lineRule="auto"/>
        <w:jc w:val="center"/>
        <w:rPr>
          <w:b/>
          <w:color w:val="365F91"/>
          <w:sz w:val="10"/>
          <w:szCs w:val="10"/>
        </w:rPr>
      </w:pPr>
    </w:p>
    <w:p w14:paraId="5DAF7F2F" w14:textId="77777777" w:rsidR="00EA2F2F" w:rsidRDefault="00EA2F2F">
      <w:pPr>
        <w:spacing w:after="0" w:line="240" w:lineRule="auto"/>
        <w:jc w:val="center"/>
        <w:rPr>
          <w:b/>
          <w:color w:val="365F91"/>
          <w:sz w:val="10"/>
          <w:szCs w:val="10"/>
        </w:rPr>
      </w:pPr>
    </w:p>
    <w:p w14:paraId="30AF2895" w14:textId="77777777" w:rsidR="00EA2F2F" w:rsidRDefault="00EA2F2F">
      <w:pPr>
        <w:spacing w:after="0" w:line="240" w:lineRule="auto"/>
        <w:jc w:val="center"/>
        <w:rPr>
          <w:b/>
          <w:color w:val="365F91"/>
          <w:sz w:val="10"/>
          <w:szCs w:val="10"/>
        </w:rPr>
      </w:pPr>
    </w:p>
    <w:tbl>
      <w:tblPr>
        <w:tblStyle w:val="aff"/>
        <w:tblW w:w="96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220"/>
        <w:gridCol w:w="2025"/>
        <w:gridCol w:w="3450"/>
      </w:tblGrid>
      <w:tr w:rsidR="00EA2F2F" w14:paraId="21754BD1" w14:textId="77777777">
        <w:trPr>
          <w:jc w:val="center"/>
        </w:trPr>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B4B54B" w14:textId="77777777" w:rsidR="00EA2F2F" w:rsidRDefault="00FD69EE">
            <w:pPr>
              <w:tabs>
                <w:tab w:val="center" w:pos="4536"/>
                <w:tab w:val="right" w:pos="9072"/>
              </w:tabs>
              <w:rPr>
                <w:b/>
                <w:color w:val="365F91"/>
                <w:sz w:val="10"/>
                <w:szCs w:val="10"/>
              </w:rPr>
            </w:pPr>
            <w:r>
              <w:rPr>
                <w:noProof/>
                <w:lang w:eastAsia="es-ES"/>
              </w:rPr>
              <w:drawing>
                <wp:inline distT="114300" distB="114300" distL="114300" distR="114300" wp14:anchorId="7DF52799" wp14:editId="40FD0C46">
                  <wp:extent cx="875347" cy="822296"/>
                  <wp:effectExtent l="0" t="0" r="0" b="0"/>
                  <wp:docPr id="8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875347" cy="822296"/>
                          </a:xfrm>
                          <a:prstGeom prst="rect">
                            <a:avLst/>
                          </a:prstGeom>
                          <a:ln/>
                        </pic:spPr>
                      </pic:pic>
                    </a:graphicData>
                  </a:graphic>
                </wp:inline>
              </w:drawing>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9BDDEF" w14:textId="77777777" w:rsidR="00EA2F2F" w:rsidRDefault="00EA2F2F">
            <w:pPr>
              <w:tabs>
                <w:tab w:val="center" w:pos="4536"/>
                <w:tab w:val="right" w:pos="9072"/>
              </w:tabs>
              <w:rPr>
                <w:b/>
                <w:color w:val="365F91"/>
                <w:sz w:val="10"/>
                <w:szCs w:val="10"/>
              </w:rPr>
            </w:pPr>
          </w:p>
        </w:tc>
        <w:tc>
          <w:tcPr>
            <w:tcW w:w="2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9DCB94" w14:textId="77777777" w:rsidR="00EA2F2F" w:rsidRDefault="00EA2F2F">
            <w:pPr>
              <w:pBdr>
                <w:top w:val="nil"/>
                <w:left w:val="nil"/>
                <w:bottom w:val="nil"/>
                <w:right w:val="nil"/>
                <w:between w:val="nil"/>
              </w:pBdr>
              <w:rPr>
                <w:b/>
                <w:color w:val="365F91"/>
                <w:sz w:val="10"/>
                <w:szCs w:val="10"/>
              </w:rPr>
            </w:pPr>
          </w:p>
        </w:tc>
        <w:tc>
          <w:tcPr>
            <w:tcW w:w="34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97B79E" w14:textId="77777777" w:rsidR="00EA2F2F" w:rsidRDefault="00EA2F2F">
            <w:pPr>
              <w:ind w:right="23"/>
              <w:jc w:val="right"/>
              <w:rPr>
                <w:sz w:val="32"/>
                <w:szCs w:val="32"/>
              </w:rPr>
            </w:pPr>
          </w:p>
          <w:p w14:paraId="126C13D9" w14:textId="77777777" w:rsidR="00EA2F2F" w:rsidRDefault="00FD69EE">
            <w:pPr>
              <w:ind w:right="23"/>
              <w:jc w:val="right"/>
              <w:rPr>
                <w:sz w:val="32"/>
                <w:szCs w:val="32"/>
              </w:rPr>
            </w:pPr>
            <w:r>
              <w:rPr>
                <w:sz w:val="32"/>
                <w:szCs w:val="32"/>
              </w:rPr>
              <w:t>Comunicado de prensa</w:t>
            </w:r>
          </w:p>
          <w:p w14:paraId="57423197" w14:textId="77777777" w:rsidR="00EA2F2F" w:rsidRDefault="00EA2F2F">
            <w:pPr>
              <w:jc w:val="right"/>
              <w:rPr>
                <w:b/>
                <w:color w:val="365F91"/>
                <w:sz w:val="10"/>
                <w:szCs w:val="10"/>
              </w:rPr>
            </w:pPr>
          </w:p>
        </w:tc>
      </w:tr>
    </w:tbl>
    <w:p w14:paraId="2BEA6239" w14:textId="77777777" w:rsidR="00EA2F2F" w:rsidRDefault="00EA2F2F" w:rsidP="00822F3F">
      <w:pPr>
        <w:spacing w:after="0" w:line="240" w:lineRule="auto"/>
        <w:rPr>
          <w:b/>
          <w:color w:val="365F91"/>
          <w:sz w:val="10"/>
          <w:szCs w:val="10"/>
        </w:rPr>
      </w:pPr>
    </w:p>
    <w:p w14:paraId="59C7019E" w14:textId="77777777" w:rsidR="00EA2F2F" w:rsidRDefault="00EA2F2F">
      <w:pPr>
        <w:spacing w:after="0" w:line="240" w:lineRule="auto"/>
        <w:jc w:val="center"/>
        <w:rPr>
          <w:b/>
          <w:color w:val="365F91"/>
          <w:sz w:val="10"/>
          <w:szCs w:val="10"/>
        </w:rPr>
      </w:pPr>
    </w:p>
    <w:p w14:paraId="4295ED3B" w14:textId="77777777" w:rsidR="00EA2F2F" w:rsidRDefault="00EA2F2F">
      <w:pPr>
        <w:pBdr>
          <w:top w:val="nil"/>
          <w:left w:val="nil"/>
          <w:bottom w:val="nil"/>
          <w:right w:val="nil"/>
          <w:between w:val="nil"/>
        </w:pBdr>
        <w:spacing w:after="0"/>
        <w:jc w:val="center"/>
        <w:rPr>
          <w:b/>
          <w:color w:val="365F91"/>
          <w:sz w:val="10"/>
          <w:szCs w:val="10"/>
        </w:rPr>
      </w:pPr>
    </w:p>
    <w:p w14:paraId="2A8D2052" w14:textId="606CC5EA" w:rsidR="00F842EA" w:rsidRPr="00D27960" w:rsidRDefault="00F161F3" w:rsidP="00F842EA">
      <w:pPr>
        <w:pBdr>
          <w:top w:val="nil"/>
          <w:left w:val="nil"/>
          <w:bottom w:val="nil"/>
          <w:right w:val="nil"/>
          <w:between w:val="nil"/>
        </w:pBdr>
        <w:spacing w:after="240"/>
        <w:jc w:val="center"/>
        <w:rPr>
          <w:b/>
          <w:color w:val="365F91"/>
          <w:sz w:val="40"/>
          <w:szCs w:val="40"/>
        </w:rPr>
      </w:pPr>
      <w:r w:rsidRPr="00F161F3">
        <w:rPr>
          <w:b/>
          <w:color w:val="365F91"/>
          <w:sz w:val="40"/>
          <w:szCs w:val="40"/>
        </w:rPr>
        <w:t xml:space="preserve">Ceva Salud Animal y MAPA se unen en el control </w:t>
      </w:r>
      <w:r w:rsidRPr="00F161F3">
        <w:rPr>
          <w:b/>
          <w:i/>
          <w:iCs/>
          <w:color w:val="365F91"/>
          <w:sz w:val="40"/>
          <w:szCs w:val="40"/>
        </w:rPr>
        <w:t>One Health</w:t>
      </w:r>
      <w:r w:rsidRPr="00F161F3">
        <w:rPr>
          <w:b/>
          <w:color w:val="365F91"/>
          <w:sz w:val="40"/>
          <w:szCs w:val="40"/>
        </w:rPr>
        <w:t xml:space="preserve"> de la fiebre Q</w:t>
      </w:r>
    </w:p>
    <w:p w14:paraId="6328074E" w14:textId="4DA9489A" w:rsidR="00D36FC4" w:rsidRDefault="00853DEA" w:rsidP="00E3158E">
      <w:pPr>
        <w:pStyle w:val="Prrafodelista"/>
        <w:numPr>
          <w:ilvl w:val="0"/>
          <w:numId w:val="4"/>
        </w:numPr>
        <w:pBdr>
          <w:top w:val="nil"/>
          <w:left w:val="nil"/>
          <w:bottom w:val="nil"/>
          <w:right w:val="nil"/>
          <w:between w:val="nil"/>
        </w:pBdr>
        <w:spacing w:after="360" w:line="240" w:lineRule="auto"/>
        <w:ind w:left="714" w:hanging="357"/>
        <w:rPr>
          <w:b/>
          <w:bCs/>
          <w:sz w:val="24"/>
          <w:szCs w:val="24"/>
        </w:rPr>
      </w:pPr>
      <w:r w:rsidRPr="00853DEA">
        <w:rPr>
          <w:b/>
          <w:bCs/>
          <w:sz w:val="24"/>
          <w:szCs w:val="24"/>
        </w:rPr>
        <w:t xml:space="preserve">La compañía organizó junto al Ministerio de Agricultura, Pesca y Alimentación una jornada de actualización de la enfermedad que contó con la presencia de </w:t>
      </w:r>
      <w:r w:rsidR="00200DE7">
        <w:rPr>
          <w:b/>
          <w:bCs/>
          <w:sz w:val="24"/>
          <w:szCs w:val="24"/>
        </w:rPr>
        <w:t xml:space="preserve">más de 120 </w:t>
      </w:r>
      <w:r w:rsidRPr="00853DEA">
        <w:rPr>
          <w:b/>
          <w:bCs/>
          <w:sz w:val="24"/>
          <w:szCs w:val="24"/>
        </w:rPr>
        <w:t>veterinarios, médicos y profesionales de la Administración central y de las comunidades autonómicas.</w:t>
      </w:r>
    </w:p>
    <w:p w14:paraId="11050F91" w14:textId="2C37885F" w:rsidR="00662191" w:rsidRDefault="0076393A" w:rsidP="00662191">
      <w:pPr>
        <w:pStyle w:val="Texto"/>
      </w:pPr>
      <w:r w:rsidRPr="00F842EA">
        <w:rPr>
          <w:b/>
          <w:bCs/>
        </w:rPr>
        <w:t xml:space="preserve">Barcelona, </w:t>
      </w:r>
      <w:r w:rsidR="0033225D">
        <w:rPr>
          <w:b/>
          <w:bCs/>
        </w:rPr>
        <w:t>9</w:t>
      </w:r>
      <w:r w:rsidR="00CB7B61">
        <w:rPr>
          <w:b/>
          <w:bCs/>
        </w:rPr>
        <w:t xml:space="preserve"> </w:t>
      </w:r>
      <w:r w:rsidR="006A4640" w:rsidRPr="00F842EA">
        <w:rPr>
          <w:b/>
          <w:bCs/>
        </w:rPr>
        <w:t xml:space="preserve">de </w:t>
      </w:r>
      <w:r w:rsidR="0033225D">
        <w:rPr>
          <w:b/>
          <w:bCs/>
        </w:rPr>
        <w:t>noviembre</w:t>
      </w:r>
      <w:r w:rsidR="000A2781">
        <w:rPr>
          <w:b/>
          <w:bCs/>
        </w:rPr>
        <w:t xml:space="preserve"> </w:t>
      </w:r>
      <w:r w:rsidR="009A4F88" w:rsidRPr="00F842EA">
        <w:rPr>
          <w:b/>
          <w:bCs/>
        </w:rPr>
        <w:t>de 202</w:t>
      </w:r>
      <w:r w:rsidR="00EB54CE">
        <w:rPr>
          <w:b/>
          <w:bCs/>
        </w:rPr>
        <w:t>3</w:t>
      </w:r>
      <w:r w:rsidRPr="00F842EA">
        <w:rPr>
          <w:b/>
          <w:bCs/>
        </w:rPr>
        <w:t>.</w:t>
      </w:r>
      <w:r w:rsidR="005B2779" w:rsidRPr="00F842EA">
        <w:rPr>
          <w:b/>
          <w:bCs/>
        </w:rPr>
        <w:t>-</w:t>
      </w:r>
      <w:r w:rsidR="00911EAA">
        <w:t xml:space="preserve"> </w:t>
      </w:r>
      <w:r w:rsidR="00662191">
        <w:t>Ceva Salud Animal, referente en salud animal, organizó con éxito la jornada “Fiebre Q: claves para un enfoque One Health”, que reunió a más de 1</w:t>
      </w:r>
      <w:r w:rsidR="00147F33">
        <w:t>2</w:t>
      </w:r>
      <w:r w:rsidR="00662191">
        <w:t xml:space="preserve">0 profesionales del sector veterinario y de la salud humana. La jornada, que se llevó a cabo en Madrid y se transmitió en línea, se centró en la fiebre Q y su control bajo la estrategia de Una Sola Salud. Juan Pedro Casas, director de Rumiantes de Ceva Salud Animal, dio la bienvenida a los </w:t>
      </w:r>
      <w:r w:rsidR="00200DE7">
        <w:t xml:space="preserve">más de 120 </w:t>
      </w:r>
      <w:r w:rsidR="00662191">
        <w:t>asistentes antes de que el doctor Jesse Barandika, del Departamento de Sanidad Animal de Neiker, brindara una actualización sobre la situación de la fiebre Q. José Luis Sáez, jefe de área de Programas Sanitarios y Zoonosis del Ministerio de Agricultura, Pesca y Alimentación (MAPA), compartió el protocolo de actuación recomendado por el ministerio.</w:t>
      </w:r>
    </w:p>
    <w:p w14:paraId="0A32F2EA" w14:textId="30EBA2BB" w:rsidR="00662191" w:rsidRDefault="00662191" w:rsidP="00662191">
      <w:pPr>
        <w:pStyle w:val="Texto"/>
      </w:pPr>
      <w:r>
        <w:t xml:space="preserve">La jornada también contó con la participación de Ángel Gómez, investigador del Ministerio de Ciencia e Innovación, quien presentó avances en la dinámica de excreción de </w:t>
      </w:r>
      <w:r w:rsidRPr="00BC6AFD">
        <w:rPr>
          <w:i/>
          <w:iCs/>
        </w:rPr>
        <w:t>Coxiella burnetii</w:t>
      </w:r>
      <w:r>
        <w:t xml:space="preserve"> en rebaños caprinos afectados por brotes clínicos de fiebre Q. Rosa María Estévez Reboredo, del Centro Nacional de Epidemiología (CNE-ISCII), destacó la importancia de la vigilancia de la </w:t>
      </w:r>
      <w:r w:rsidR="00BC6AFD">
        <w:t>f</w:t>
      </w:r>
      <w:r>
        <w:t>iebre Q en humanos, haciendo especial hincapié en la Red Nacional de Vigilancia Epidemiológica.</w:t>
      </w:r>
    </w:p>
    <w:p w14:paraId="7FF0C5C0" w14:textId="62976E0E" w:rsidR="00DF71C5" w:rsidRDefault="00662191" w:rsidP="00DF71C5">
      <w:pPr>
        <w:pStyle w:val="Texto"/>
      </w:pPr>
      <w:r>
        <w:t>David González Barrio, del Centro Nacional de Microbiología CNM-ISCII, abordó el diagnóstico</w:t>
      </w:r>
      <w:r w:rsidR="00DF71C5">
        <w:t xml:space="preserve"> y caracterización de la enfermedad. El </w:t>
      </w:r>
      <w:r w:rsidR="00710D25">
        <w:t xml:space="preserve">doctor Francisco </w:t>
      </w:r>
      <w:r w:rsidR="00DF71C5">
        <w:t xml:space="preserve">Manuel Bueno Llarena, especialista en </w:t>
      </w:r>
      <w:r w:rsidR="00710D25">
        <w:t>M</w:t>
      </w:r>
      <w:r w:rsidR="00DF71C5">
        <w:t xml:space="preserve">edicina </w:t>
      </w:r>
      <w:r w:rsidR="00710D25">
        <w:t>I</w:t>
      </w:r>
      <w:r w:rsidR="00DF71C5">
        <w:t xml:space="preserve">nterna del </w:t>
      </w:r>
      <w:r w:rsidR="00710D25">
        <w:t>H</w:t>
      </w:r>
      <w:r w:rsidR="00DF71C5">
        <w:t xml:space="preserve">ospital </w:t>
      </w:r>
      <w:r w:rsidR="00710D25">
        <w:t>U</w:t>
      </w:r>
      <w:r w:rsidR="00DF71C5">
        <w:t xml:space="preserve">niversitario de Badajoz y responsable del proyecto </w:t>
      </w:r>
      <w:r w:rsidR="00DF71C5" w:rsidRPr="00710D25">
        <w:rPr>
          <w:i/>
          <w:iCs/>
        </w:rPr>
        <w:t>One Health</w:t>
      </w:r>
      <w:r w:rsidR="00DF71C5">
        <w:t xml:space="preserve"> de Extremadura</w:t>
      </w:r>
      <w:r w:rsidR="00710D25">
        <w:t>,</w:t>
      </w:r>
      <w:r w:rsidR="00DF71C5">
        <w:t xml:space="preserve"> hizo una revisión de casos de </w:t>
      </w:r>
      <w:r w:rsidR="00710D25">
        <w:t>f</w:t>
      </w:r>
      <w:r w:rsidR="00DF71C5">
        <w:t xml:space="preserve">iebre </w:t>
      </w:r>
      <w:r w:rsidR="00710D25">
        <w:t>Q</w:t>
      </w:r>
      <w:r w:rsidR="00DF71C5">
        <w:t xml:space="preserve"> con abordaje globalizado de m</w:t>
      </w:r>
      <w:r w:rsidR="00710D25">
        <w:t>é</w:t>
      </w:r>
      <w:r w:rsidR="00DF71C5">
        <w:t>dicos, veterinarios, bi</w:t>
      </w:r>
      <w:r w:rsidR="00710D25">
        <w:t>ó</w:t>
      </w:r>
      <w:r w:rsidR="00DF71C5">
        <w:t>logos y farmac</w:t>
      </w:r>
      <w:r w:rsidR="00710D25">
        <w:t>é</w:t>
      </w:r>
      <w:r w:rsidR="00DF71C5">
        <w:t>uticos. Posteriormente, representantes de diversas comunidades autónomas compartieron las actuaciones realizadas en sus territorios.</w:t>
      </w:r>
    </w:p>
    <w:p w14:paraId="3E4A2795" w14:textId="77777777" w:rsidR="00662191" w:rsidRDefault="00662191" w:rsidP="00662191">
      <w:pPr>
        <w:pStyle w:val="Texto"/>
      </w:pPr>
      <w:r>
        <w:t xml:space="preserve">Luz Ruano, responsable de relaciones con la Administración de Ceva Salud Animal, subrayó la importancia de un enfoque </w:t>
      </w:r>
      <w:r w:rsidRPr="00BC6AFD">
        <w:rPr>
          <w:i/>
          <w:iCs/>
        </w:rPr>
        <w:t>One Health</w:t>
      </w:r>
      <w:r>
        <w:t xml:space="preserve"> en la lucha contra la fiebre Q, destacando la colaboración necesaria entre la sanidad animal, la salud pública, los grupos de investigación y las empresas privadas.</w:t>
      </w:r>
    </w:p>
    <w:p w14:paraId="3DDD596B" w14:textId="77777777" w:rsidR="00662191" w:rsidRDefault="00662191" w:rsidP="00662191">
      <w:pPr>
        <w:pStyle w:val="Texto"/>
      </w:pPr>
      <w:r>
        <w:t>La jornada resaltó la relevancia de la cooperación interdisciplinaria para garantizar la sostenibilidad de la actividad ganadera y minimizar los riesgos de transmisión de patógenos a la población humana. El evento dejó claro que la lucha contra la fiebre Q es un esfuerzo colectivo que requiere la participación activa de todas las partes interesadas en la salud animal y humana.</w:t>
      </w:r>
    </w:p>
    <w:p w14:paraId="73CE2020" w14:textId="73D7CB83" w:rsidR="00DD7F5D" w:rsidRDefault="00662191" w:rsidP="009C7649">
      <w:pPr>
        <w:pStyle w:val="Texto"/>
      </w:pPr>
      <w:r>
        <w:t xml:space="preserve">Ceva Salud Animal cuenta la vacuna </w:t>
      </w:r>
      <w:hyperlink r:id="rId9" w:history="1">
        <w:r w:rsidRPr="00220380">
          <w:rPr>
            <w:rStyle w:val="Hipervnculo"/>
          </w:rPr>
          <w:t>Coxevac</w:t>
        </w:r>
        <w:r w:rsidRPr="00220380">
          <w:rPr>
            <w:rStyle w:val="Hipervnculo"/>
            <w:vertAlign w:val="superscript"/>
          </w:rPr>
          <w:t>®</w:t>
        </w:r>
      </w:hyperlink>
      <w:r>
        <w:t>, que ha demostrado ser</w:t>
      </w:r>
      <w:r w:rsidR="00A267AE">
        <w:t xml:space="preserve"> la única herramienta </w:t>
      </w:r>
      <w:r>
        <w:t xml:space="preserve">eficaz para reducir la excreción del patógeno y prevenir la propagación de la enfermedad. La compañía también ofrece </w:t>
      </w:r>
      <w:r>
        <w:lastRenderedPageBreak/>
        <w:t xml:space="preserve">otras herramientas y servicios como la web </w:t>
      </w:r>
      <w:hyperlink r:id="rId10" w:history="1">
        <w:r w:rsidRPr="00F96E1E">
          <w:rPr>
            <w:rStyle w:val="Hipervnculo"/>
          </w:rPr>
          <w:t>www.fiebreq.com</w:t>
        </w:r>
      </w:hyperlink>
      <w:r>
        <w:t>, planteada específicamente para analizar e informar sobre la enfermedad.</w:t>
      </w:r>
    </w:p>
    <w:p w14:paraId="34FD5901" w14:textId="38A76896" w:rsidR="004959F1" w:rsidRDefault="002B1E59" w:rsidP="009C7649">
      <w:pPr>
        <w:pStyle w:val="Texto"/>
      </w:pPr>
      <w:r>
        <w:rPr>
          <w:noProof/>
        </w:rPr>
        <mc:AlternateContent>
          <mc:Choice Requires="wps">
            <w:drawing>
              <wp:anchor distT="45720" distB="45720" distL="114300" distR="114300" simplePos="0" relativeHeight="251659264" behindDoc="0" locked="0" layoutInCell="1" allowOverlap="1" wp14:anchorId="797FB1CF" wp14:editId="79B95988">
                <wp:simplePos x="0" y="0"/>
                <wp:positionH relativeFrom="column">
                  <wp:posOffset>5541010</wp:posOffset>
                </wp:positionH>
                <wp:positionV relativeFrom="paragraph">
                  <wp:posOffset>842645</wp:posOffset>
                </wp:positionV>
                <wp:extent cx="1054100" cy="1104900"/>
                <wp:effectExtent l="0" t="0" r="1270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104900"/>
                        </a:xfrm>
                        <a:prstGeom prst="rect">
                          <a:avLst/>
                        </a:prstGeom>
                        <a:solidFill>
                          <a:srgbClr val="FFFFFF"/>
                        </a:solidFill>
                        <a:ln w="9525">
                          <a:solidFill>
                            <a:srgbClr val="000000"/>
                          </a:solidFill>
                          <a:miter lim="800000"/>
                          <a:headEnd/>
                          <a:tailEnd/>
                        </a:ln>
                      </wps:spPr>
                      <wps:txbx>
                        <w:txbxContent>
                          <w:p w14:paraId="247D52DC" w14:textId="7B9090F6" w:rsidR="00B45860" w:rsidRPr="002B1E59" w:rsidRDefault="004D696E">
                            <w:pPr>
                              <w:rPr>
                                <w:b/>
                                <w:bCs/>
                              </w:rPr>
                            </w:pPr>
                            <w:r w:rsidRPr="002B1E59">
                              <w:rPr>
                                <w:b/>
                                <w:bCs/>
                              </w:rPr>
                              <w:t>La jornada contó con una elevada presencia de profesionales</w:t>
                            </w:r>
                            <w:r w:rsidR="00200DE7">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FB1CF" id="_x0000_t202" coordsize="21600,21600" o:spt="202" path="m,l,21600r21600,l21600,xe">
                <v:stroke joinstyle="miter"/>
                <v:path gradientshapeok="t" o:connecttype="rect"/>
              </v:shapetype>
              <v:shape id="Cuadro de texto 2" o:spid="_x0000_s1026" type="#_x0000_t202" style="position:absolute;left:0;text-align:left;margin-left:436.3pt;margin-top:66.35pt;width:83pt;height: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">
                <v:textbox>
                  <w:txbxContent>
                    <w:p w14:paraId="247D52DC" w14:textId="7B9090F6" w:rsidR="00B45860" w:rsidRPr="002B1E59" w:rsidRDefault="004D696E">
                      <w:pPr>
                        <w:rPr>
                          <w:b/>
                          <w:bCs/>
                        </w:rPr>
                      </w:pPr>
                      <w:r w:rsidRPr="002B1E59">
                        <w:rPr>
                          <w:b/>
                          <w:bCs/>
                        </w:rPr>
                        <w:t>La jornada contó con una elevada presencia de profesionales</w:t>
                      </w:r>
                      <w:r w:rsidR="00200DE7">
                        <w:rPr>
                          <w:b/>
                          <w:bCs/>
                        </w:rPr>
                        <w:t>.</w:t>
                      </w:r>
                    </w:p>
                  </w:txbxContent>
                </v:textbox>
                <w10:wrap type="square"/>
              </v:shape>
            </w:pict>
          </mc:Fallback>
        </mc:AlternateContent>
      </w:r>
      <w:r w:rsidR="004959F1">
        <w:rPr>
          <w:noProof/>
        </w:rPr>
        <w:drawing>
          <wp:inline distT="0" distB="0" distL="0" distR="0" wp14:anchorId="509196DF" wp14:editId="0469A63F">
            <wp:extent cx="2734649" cy="1980000"/>
            <wp:effectExtent l="0" t="0" r="8890" b="1270"/>
            <wp:docPr id="435134278" name="Imagen 1" descr="Una foto de un grupo de personas posando para una fo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34278" name="Imagen 1" descr="Una foto de un grupo de personas posando para una fot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4649" cy="1980000"/>
                    </a:xfrm>
                    <a:prstGeom prst="rect">
                      <a:avLst/>
                    </a:prstGeom>
                  </pic:spPr>
                </pic:pic>
              </a:graphicData>
            </a:graphic>
          </wp:inline>
        </w:drawing>
      </w:r>
      <w:r w:rsidR="00B45860">
        <w:t xml:space="preserve"> </w:t>
      </w:r>
      <w:r w:rsidR="004959F1">
        <w:rPr>
          <w:noProof/>
        </w:rPr>
        <w:drawing>
          <wp:inline distT="0" distB="0" distL="0" distR="0" wp14:anchorId="1C082F9F" wp14:editId="6B71B640">
            <wp:extent cx="2640083" cy="1980000"/>
            <wp:effectExtent l="0" t="0" r="8255" b="1270"/>
            <wp:docPr id="1128884831" name="Imagen 2" descr="Gente en una ofici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84831" name="Imagen 2" descr="Gente en una oficin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0083" cy="1980000"/>
                    </a:xfrm>
                    <a:prstGeom prst="rect">
                      <a:avLst/>
                    </a:prstGeom>
                  </pic:spPr>
                </pic:pic>
              </a:graphicData>
            </a:graphic>
          </wp:inline>
        </w:drawing>
      </w:r>
      <w:r w:rsidR="006277FE">
        <w:tab/>
      </w:r>
    </w:p>
    <w:p w14:paraId="1D727979" w14:textId="77777777" w:rsidR="00217D69" w:rsidRDefault="00217D69" w:rsidP="009C7649">
      <w:pPr>
        <w:pStyle w:val="Texto"/>
      </w:pPr>
    </w:p>
    <w:p w14:paraId="5A0DC969" w14:textId="77777777" w:rsidR="001B08DB" w:rsidRDefault="001B08DB" w:rsidP="00EB54CE">
      <w:pPr>
        <w:widowControl/>
        <w:spacing w:after="0" w:line="240" w:lineRule="auto"/>
        <w:jc w:val="both"/>
        <w:rPr>
          <w:b/>
          <w:color w:val="595959"/>
          <w:sz w:val="18"/>
          <w:szCs w:val="18"/>
        </w:rPr>
      </w:pPr>
    </w:p>
    <w:p w14:paraId="2A50D4AE" w14:textId="5418E4C9" w:rsidR="00EB54CE" w:rsidRPr="00EB54CE" w:rsidRDefault="00EB54CE" w:rsidP="00EB54CE">
      <w:pPr>
        <w:widowControl/>
        <w:spacing w:after="0" w:line="240" w:lineRule="auto"/>
        <w:jc w:val="both"/>
        <w:rPr>
          <w:b/>
          <w:color w:val="595959"/>
          <w:sz w:val="18"/>
          <w:szCs w:val="18"/>
        </w:rPr>
      </w:pPr>
      <w:r w:rsidRPr="00EB54CE">
        <w:rPr>
          <w:b/>
          <w:color w:val="595959"/>
          <w:sz w:val="18"/>
          <w:szCs w:val="18"/>
        </w:rPr>
        <w:t>Acerca de Ceva Salud Animal</w:t>
      </w:r>
    </w:p>
    <w:p w14:paraId="79FBF3AB" w14:textId="3335901C"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Ceva Salud Animal (Ceva) es la 5ª empresa mundial de salud animal, dirigida por veterinarios experimentados, cuya misión es proporcionar soluciones sanitarias innovadoras para todos los animales con el fin de garantizar el máximo nivel de cuidado</w:t>
      </w:r>
    </w:p>
    <w:p w14:paraId="51BFECDE"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 xml:space="preserve">y bienestar. </w:t>
      </w:r>
    </w:p>
    <w:p w14:paraId="4AEEE354"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Nuestra cartera incluye medicina preventiva, como vacunas, productos farmacéuticos y de bienestar animal para animales de granja y de compañía, así como equipos y servicios para proporcionar la mejor experiencia a nuestros clientes.</w:t>
      </w:r>
    </w:p>
    <w:p w14:paraId="4993EFD2"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Con 6.500 empleados repartidos en 47 países, Ceva se esfuerza a diario por hacer realidad su visión como empresa OneHealth: "Juntos, más allá de la salud animal".</w:t>
      </w:r>
    </w:p>
    <w:p w14:paraId="4B64311E" w14:textId="77777777" w:rsidR="00EB54CE" w:rsidRDefault="00EB54CE" w:rsidP="00EB54CE">
      <w:pPr>
        <w:widowControl/>
        <w:spacing w:after="0" w:line="240" w:lineRule="auto"/>
        <w:jc w:val="both"/>
        <w:rPr>
          <w:bCs/>
          <w:color w:val="595959"/>
          <w:sz w:val="18"/>
          <w:szCs w:val="18"/>
        </w:rPr>
      </w:pPr>
      <w:r w:rsidRPr="00EB54CE">
        <w:rPr>
          <w:bCs/>
          <w:color w:val="595959"/>
          <w:sz w:val="18"/>
          <w:szCs w:val="18"/>
        </w:rPr>
        <w:t>Facturación en 2022: 1.530 millones de euros.</w:t>
      </w:r>
    </w:p>
    <w:p w14:paraId="2217363A" w14:textId="6F8E1F39" w:rsidR="00220380" w:rsidRDefault="00990AC1" w:rsidP="00EB54CE">
      <w:pPr>
        <w:widowControl/>
        <w:spacing w:after="0" w:line="240" w:lineRule="auto"/>
        <w:jc w:val="both"/>
        <w:rPr>
          <w:bCs/>
          <w:color w:val="595959"/>
          <w:sz w:val="18"/>
          <w:szCs w:val="18"/>
        </w:rPr>
      </w:pPr>
      <w:r>
        <w:rPr>
          <w:bCs/>
          <w:color w:val="595959"/>
          <w:sz w:val="18"/>
          <w:szCs w:val="18"/>
        </w:rPr>
        <w:t xml:space="preserve">La ficha técnica de </w:t>
      </w:r>
      <w:r w:rsidR="00A4038A" w:rsidRPr="00A4038A">
        <w:rPr>
          <w:bCs/>
          <w:color w:val="595959"/>
          <w:sz w:val="18"/>
          <w:szCs w:val="18"/>
        </w:rPr>
        <w:t xml:space="preserve">Coxevac </w:t>
      </w:r>
      <w:r>
        <w:rPr>
          <w:bCs/>
          <w:color w:val="595959"/>
          <w:sz w:val="18"/>
          <w:szCs w:val="18"/>
        </w:rPr>
        <w:t xml:space="preserve">está disponible en </w:t>
      </w:r>
      <w:hyperlink r:id="rId13" w:history="1">
        <w:r w:rsidR="00220380" w:rsidRPr="00611495">
          <w:rPr>
            <w:rStyle w:val="Hipervnculo"/>
            <w:bCs/>
            <w:sz w:val="18"/>
            <w:szCs w:val="18"/>
          </w:rPr>
          <w:t>https://www.ceva.es/Especies-y-Productos/Lista-de-productos/COXEVAC</w:t>
        </w:r>
      </w:hyperlink>
    </w:p>
    <w:p w14:paraId="7A504781" w14:textId="77777777" w:rsidR="00C57521" w:rsidRDefault="00C57521" w:rsidP="00EB54CE">
      <w:pPr>
        <w:widowControl/>
        <w:spacing w:after="0" w:line="240" w:lineRule="auto"/>
        <w:jc w:val="both"/>
        <w:rPr>
          <w:bCs/>
          <w:color w:val="595959"/>
          <w:sz w:val="18"/>
          <w:szCs w:val="18"/>
        </w:rPr>
      </w:pPr>
    </w:p>
    <w:p w14:paraId="5DBD1FF7" w14:textId="1D0112BD" w:rsidR="00EB54CE" w:rsidRPr="00EB54CE" w:rsidRDefault="00EB54CE" w:rsidP="00EB54CE">
      <w:pPr>
        <w:widowControl/>
        <w:spacing w:after="0" w:line="240" w:lineRule="auto"/>
        <w:jc w:val="both"/>
        <w:rPr>
          <w:bCs/>
          <w:color w:val="595959"/>
          <w:sz w:val="18"/>
          <w:szCs w:val="18"/>
        </w:rPr>
      </w:pPr>
    </w:p>
    <w:p w14:paraId="3B803F4A" w14:textId="77777777" w:rsidR="00EB54CE" w:rsidRPr="00EB54CE" w:rsidRDefault="00EB54CE" w:rsidP="00EB54CE">
      <w:pPr>
        <w:widowControl/>
        <w:spacing w:after="0" w:line="240" w:lineRule="auto"/>
        <w:jc w:val="both"/>
        <w:rPr>
          <w:b/>
          <w:color w:val="595959"/>
          <w:sz w:val="18"/>
          <w:szCs w:val="18"/>
        </w:rPr>
      </w:pPr>
    </w:p>
    <w:p w14:paraId="0EABF722" w14:textId="77777777" w:rsidR="00505F99" w:rsidRDefault="00505F99">
      <w:pPr>
        <w:widowControl/>
        <w:spacing w:after="0" w:line="240" w:lineRule="auto"/>
        <w:jc w:val="both"/>
        <w:rPr>
          <w:color w:val="595959"/>
          <w:sz w:val="18"/>
          <w:szCs w:val="18"/>
        </w:rPr>
      </w:pPr>
    </w:p>
    <w:p w14:paraId="0F348388" w14:textId="72A8AE50" w:rsidR="00505F99" w:rsidRPr="00682FE8" w:rsidRDefault="00505F99" w:rsidP="00505F99">
      <w:pPr>
        <w:spacing w:after="0" w:line="240" w:lineRule="auto"/>
        <w:rPr>
          <w:color w:val="595959"/>
          <w:sz w:val="18"/>
          <w:szCs w:val="18"/>
          <w:lang w:val="en-GB"/>
        </w:rPr>
      </w:pPr>
      <w:r w:rsidRPr="00682FE8">
        <w:rPr>
          <w:color w:val="595959"/>
          <w:sz w:val="18"/>
          <w:szCs w:val="18"/>
          <w:lang w:val="en-GB"/>
        </w:rPr>
        <w:t xml:space="preserve">Sitio web: </w:t>
      </w:r>
    </w:p>
    <w:p w14:paraId="6CA6BA91" w14:textId="776B2429" w:rsidR="00505F99" w:rsidRPr="00CC31D9" w:rsidRDefault="00000000" w:rsidP="00505F99">
      <w:pPr>
        <w:spacing w:after="0" w:line="240" w:lineRule="auto"/>
        <w:ind w:left="-108" w:firstLine="108"/>
        <w:rPr>
          <w:bCs/>
          <w:color w:val="595959"/>
          <w:sz w:val="18"/>
          <w:szCs w:val="18"/>
          <w:lang w:val="en-GB"/>
        </w:rPr>
      </w:pPr>
      <w:hyperlink r:id="rId14" w:history="1">
        <w:r w:rsidR="00EB54CE" w:rsidRPr="00CC31D9">
          <w:rPr>
            <w:rStyle w:val="Hipervnculo"/>
            <w:bCs/>
            <w:sz w:val="18"/>
            <w:szCs w:val="18"/>
            <w:lang w:val="en-GB"/>
          </w:rPr>
          <w:t>https://www.ceva.com</w:t>
        </w:r>
      </w:hyperlink>
    </w:p>
    <w:p w14:paraId="13AA08BF" w14:textId="77777777" w:rsidR="005D6DA9" w:rsidRPr="00682FE8" w:rsidRDefault="005D6DA9" w:rsidP="000304C8">
      <w:pPr>
        <w:spacing w:after="0" w:line="240" w:lineRule="auto"/>
        <w:rPr>
          <w:color w:val="0000FF"/>
          <w:sz w:val="18"/>
          <w:szCs w:val="18"/>
          <w:lang w:val="en-GB"/>
        </w:rPr>
      </w:pPr>
    </w:p>
    <w:p w14:paraId="4857990F" w14:textId="1A7246FF" w:rsidR="00743472" w:rsidRPr="00BC1653" w:rsidRDefault="00743472" w:rsidP="00BC1653">
      <w:pPr>
        <w:spacing w:line="240" w:lineRule="auto"/>
        <w:rPr>
          <w:i/>
          <w:color w:val="595959"/>
          <w:sz w:val="18"/>
          <w:szCs w:val="18"/>
        </w:rPr>
      </w:pPr>
      <w:r w:rsidRPr="00FC4117">
        <w:rPr>
          <w:i/>
          <w:color w:val="595959"/>
          <w:sz w:val="18"/>
          <w:szCs w:val="18"/>
          <w:u w:val="single"/>
        </w:rPr>
        <w:t>Contacto de prensa</w:t>
      </w:r>
      <w:r w:rsidRPr="00FC4117">
        <w:rPr>
          <w:i/>
          <w:color w:val="595959"/>
          <w:sz w:val="18"/>
          <w:szCs w:val="18"/>
        </w:rPr>
        <w:t>:</w:t>
      </w:r>
      <w:r>
        <w:rPr>
          <w:i/>
          <w:color w:val="595959"/>
          <w:sz w:val="18"/>
          <w:szCs w:val="18"/>
        </w:rPr>
        <w:br/>
      </w:r>
      <w:hyperlink r:id="rId15" w:history="1">
        <w:r w:rsidR="00BC1653" w:rsidRPr="00C53A2B">
          <w:rPr>
            <w:rStyle w:val="Hipervnculo"/>
            <w:i/>
            <w:sz w:val="18"/>
            <w:szCs w:val="18"/>
          </w:rPr>
          <w:t>anna.conejos-external@ceva.com</w:t>
        </w:r>
      </w:hyperlink>
    </w:p>
    <w:sectPr w:rsidR="00743472" w:rsidRPr="00BC1653">
      <w:headerReference w:type="default" r:id="rId16"/>
      <w:pgSz w:w="11907" w:h="16839"/>
      <w:pgMar w:top="315" w:right="1134" w:bottom="851" w:left="1134" w:header="680" w:footer="4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C8CE" w14:textId="77777777" w:rsidR="003D3782" w:rsidRDefault="003D3782">
      <w:pPr>
        <w:spacing w:after="0" w:line="240" w:lineRule="auto"/>
      </w:pPr>
      <w:r>
        <w:separator/>
      </w:r>
    </w:p>
  </w:endnote>
  <w:endnote w:type="continuationSeparator" w:id="0">
    <w:p w14:paraId="71E34974" w14:textId="77777777" w:rsidR="003D3782" w:rsidRDefault="003D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730A" w14:textId="77777777" w:rsidR="003D3782" w:rsidRDefault="003D3782">
      <w:pPr>
        <w:spacing w:after="0" w:line="240" w:lineRule="auto"/>
      </w:pPr>
      <w:r>
        <w:separator/>
      </w:r>
    </w:p>
  </w:footnote>
  <w:footnote w:type="continuationSeparator" w:id="0">
    <w:p w14:paraId="52B7D1D1" w14:textId="77777777" w:rsidR="003D3782" w:rsidRDefault="003D3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331C" w14:textId="77777777" w:rsidR="00EA2F2F" w:rsidRDefault="00EA2F2F">
    <w:pPr>
      <w:spacing w:after="0" w:line="200" w:lineRule="auto"/>
      <w:ind w:right="-13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4046"/>
    <w:multiLevelType w:val="hybridMultilevel"/>
    <w:tmpl w:val="226CE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D37D10"/>
    <w:multiLevelType w:val="hybridMultilevel"/>
    <w:tmpl w:val="C92C25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F9A6A16"/>
    <w:multiLevelType w:val="hybridMultilevel"/>
    <w:tmpl w:val="06E83C3C"/>
    <w:lvl w:ilvl="0" w:tplc="0092548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A7312E"/>
    <w:multiLevelType w:val="hybridMultilevel"/>
    <w:tmpl w:val="E3023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47274669">
    <w:abstractNumId w:val="1"/>
  </w:num>
  <w:num w:numId="2" w16cid:durableId="426315311">
    <w:abstractNumId w:val="2"/>
  </w:num>
  <w:num w:numId="3" w16cid:durableId="830172226">
    <w:abstractNumId w:val="3"/>
  </w:num>
  <w:num w:numId="4" w16cid:durableId="195443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F"/>
    <w:rsid w:val="000000E5"/>
    <w:rsid w:val="00001233"/>
    <w:rsid w:val="00020F9B"/>
    <w:rsid w:val="00027389"/>
    <w:rsid w:val="000304C8"/>
    <w:rsid w:val="00037841"/>
    <w:rsid w:val="00050100"/>
    <w:rsid w:val="00055D98"/>
    <w:rsid w:val="00080A3B"/>
    <w:rsid w:val="000852C9"/>
    <w:rsid w:val="000970E4"/>
    <w:rsid w:val="000A2781"/>
    <w:rsid w:val="000A5EB9"/>
    <w:rsid w:val="000C7EBE"/>
    <w:rsid w:val="000E144B"/>
    <w:rsid w:val="000E5532"/>
    <w:rsid w:val="000E642B"/>
    <w:rsid w:val="000E7B69"/>
    <w:rsid w:val="000F4BC7"/>
    <w:rsid w:val="000F6335"/>
    <w:rsid w:val="00102E77"/>
    <w:rsid w:val="0010464B"/>
    <w:rsid w:val="00115F8E"/>
    <w:rsid w:val="0012747C"/>
    <w:rsid w:val="001305E0"/>
    <w:rsid w:val="00130C52"/>
    <w:rsid w:val="00130CAA"/>
    <w:rsid w:val="001333C4"/>
    <w:rsid w:val="00134B49"/>
    <w:rsid w:val="00140CC9"/>
    <w:rsid w:val="00142509"/>
    <w:rsid w:val="00146BF4"/>
    <w:rsid w:val="00147F33"/>
    <w:rsid w:val="001500BC"/>
    <w:rsid w:val="001502E8"/>
    <w:rsid w:val="00155389"/>
    <w:rsid w:val="001570BA"/>
    <w:rsid w:val="00157376"/>
    <w:rsid w:val="00164E9F"/>
    <w:rsid w:val="00185FC7"/>
    <w:rsid w:val="0018770C"/>
    <w:rsid w:val="001A0824"/>
    <w:rsid w:val="001B08DB"/>
    <w:rsid w:val="001E0050"/>
    <w:rsid w:val="001E525B"/>
    <w:rsid w:val="00200DE7"/>
    <w:rsid w:val="00214E76"/>
    <w:rsid w:val="00217D69"/>
    <w:rsid w:val="00220380"/>
    <w:rsid w:val="00222AE2"/>
    <w:rsid w:val="00233712"/>
    <w:rsid w:val="0024324D"/>
    <w:rsid w:val="00247E28"/>
    <w:rsid w:val="0025366E"/>
    <w:rsid w:val="0027538A"/>
    <w:rsid w:val="002753AC"/>
    <w:rsid w:val="00276CF7"/>
    <w:rsid w:val="00296322"/>
    <w:rsid w:val="002B1ABE"/>
    <w:rsid w:val="002B1E59"/>
    <w:rsid w:val="002C1683"/>
    <w:rsid w:val="002C42E8"/>
    <w:rsid w:val="002C43B1"/>
    <w:rsid w:val="002D138A"/>
    <w:rsid w:val="002E1BFC"/>
    <w:rsid w:val="002F66D6"/>
    <w:rsid w:val="00301EDF"/>
    <w:rsid w:val="00303802"/>
    <w:rsid w:val="00310C45"/>
    <w:rsid w:val="00313100"/>
    <w:rsid w:val="00313CE5"/>
    <w:rsid w:val="003238A0"/>
    <w:rsid w:val="0033225D"/>
    <w:rsid w:val="00361AD9"/>
    <w:rsid w:val="00365F91"/>
    <w:rsid w:val="0037304C"/>
    <w:rsid w:val="003759B9"/>
    <w:rsid w:val="00376A89"/>
    <w:rsid w:val="00386776"/>
    <w:rsid w:val="0038749F"/>
    <w:rsid w:val="0039033F"/>
    <w:rsid w:val="003A29B7"/>
    <w:rsid w:val="003A6A06"/>
    <w:rsid w:val="003B6C2F"/>
    <w:rsid w:val="003D3782"/>
    <w:rsid w:val="003E0345"/>
    <w:rsid w:val="003E4E8C"/>
    <w:rsid w:val="003F7B03"/>
    <w:rsid w:val="00406693"/>
    <w:rsid w:val="004068DC"/>
    <w:rsid w:val="00416024"/>
    <w:rsid w:val="00416D69"/>
    <w:rsid w:val="004416B4"/>
    <w:rsid w:val="004616B1"/>
    <w:rsid w:val="0046795C"/>
    <w:rsid w:val="00473D61"/>
    <w:rsid w:val="00482473"/>
    <w:rsid w:val="00491089"/>
    <w:rsid w:val="004959F1"/>
    <w:rsid w:val="004A5DF8"/>
    <w:rsid w:val="004B001E"/>
    <w:rsid w:val="004B0F66"/>
    <w:rsid w:val="004B4A55"/>
    <w:rsid w:val="004B6FE6"/>
    <w:rsid w:val="004B75F8"/>
    <w:rsid w:val="004C4C14"/>
    <w:rsid w:val="004D696E"/>
    <w:rsid w:val="004D72FA"/>
    <w:rsid w:val="004E770C"/>
    <w:rsid w:val="004F4497"/>
    <w:rsid w:val="004F6ABA"/>
    <w:rsid w:val="00501986"/>
    <w:rsid w:val="00505F99"/>
    <w:rsid w:val="005102AC"/>
    <w:rsid w:val="00512902"/>
    <w:rsid w:val="00513A2D"/>
    <w:rsid w:val="00520FF7"/>
    <w:rsid w:val="00522204"/>
    <w:rsid w:val="00531135"/>
    <w:rsid w:val="00531D2B"/>
    <w:rsid w:val="0053495C"/>
    <w:rsid w:val="005437D8"/>
    <w:rsid w:val="00546407"/>
    <w:rsid w:val="005468A1"/>
    <w:rsid w:val="00550F06"/>
    <w:rsid w:val="00550F34"/>
    <w:rsid w:val="00553ACB"/>
    <w:rsid w:val="00553BC2"/>
    <w:rsid w:val="00556B06"/>
    <w:rsid w:val="00556D2E"/>
    <w:rsid w:val="005573E7"/>
    <w:rsid w:val="00566FD1"/>
    <w:rsid w:val="00571816"/>
    <w:rsid w:val="00590147"/>
    <w:rsid w:val="005901CB"/>
    <w:rsid w:val="00591155"/>
    <w:rsid w:val="00595A5F"/>
    <w:rsid w:val="00595F12"/>
    <w:rsid w:val="005A6EB2"/>
    <w:rsid w:val="005B0114"/>
    <w:rsid w:val="005B2779"/>
    <w:rsid w:val="005B4D2F"/>
    <w:rsid w:val="005C5C00"/>
    <w:rsid w:val="005D6266"/>
    <w:rsid w:val="005D6DA9"/>
    <w:rsid w:val="006010B8"/>
    <w:rsid w:val="006013D0"/>
    <w:rsid w:val="006060CD"/>
    <w:rsid w:val="00610DFF"/>
    <w:rsid w:val="006277FE"/>
    <w:rsid w:val="00654667"/>
    <w:rsid w:val="00662191"/>
    <w:rsid w:val="006625E2"/>
    <w:rsid w:val="00667458"/>
    <w:rsid w:val="00670529"/>
    <w:rsid w:val="0068021E"/>
    <w:rsid w:val="00680BB0"/>
    <w:rsid w:val="00682FE8"/>
    <w:rsid w:val="00691630"/>
    <w:rsid w:val="006949A9"/>
    <w:rsid w:val="006A3615"/>
    <w:rsid w:val="006A4640"/>
    <w:rsid w:val="006A61DC"/>
    <w:rsid w:val="006B1D7B"/>
    <w:rsid w:val="006B6CC6"/>
    <w:rsid w:val="006F0DE7"/>
    <w:rsid w:val="006F2E37"/>
    <w:rsid w:val="0070233D"/>
    <w:rsid w:val="0070651C"/>
    <w:rsid w:val="007078F6"/>
    <w:rsid w:val="00710D25"/>
    <w:rsid w:val="00713E95"/>
    <w:rsid w:val="00714B14"/>
    <w:rsid w:val="00720279"/>
    <w:rsid w:val="00720C79"/>
    <w:rsid w:val="0072326B"/>
    <w:rsid w:val="00727335"/>
    <w:rsid w:val="007300BA"/>
    <w:rsid w:val="00736AF4"/>
    <w:rsid w:val="007371F5"/>
    <w:rsid w:val="00743472"/>
    <w:rsid w:val="00743F4F"/>
    <w:rsid w:val="00747C2A"/>
    <w:rsid w:val="00757140"/>
    <w:rsid w:val="0076393A"/>
    <w:rsid w:val="00766461"/>
    <w:rsid w:val="007721D0"/>
    <w:rsid w:val="00784DB6"/>
    <w:rsid w:val="00791DDA"/>
    <w:rsid w:val="007A6019"/>
    <w:rsid w:val="007D6727"/>
    <w:rsid w:val="007E0D1A"/>
    <w:rsid w:val="0080608A"/>
    <w:rsid w:val="008215FD"/>
    <w:rsid w:val="00822F3F"/>
    <w:rsid w:val="00824EA1"/>
    <w:rsid w:val="0084739F"/>
    <w:rsid w:val="00852F63"/>
    <w:rsid w:val="00853DEA"/>
    <w:rsid w:val="008559FE"/>
    <w:rsid w:val="00856E51"/>
    <w:rsid w:val="00860BF4"/>
    <w:rsid w:val="00865B85"/>
    <w:rsid w:val="00881E2F"/>
    <w:rsid w:val="00887599"/>
    <w:rsid w:val="008A04AC"/>
    <w:rsid w:val="008B6225"/>
    <w:rsid w:val="008D1336"/>
    <w:rsid w:val="008D7985"/>
    <w:rsid w:val="008E497B"/>
    <w:rsid w:val="008F6BCA"/>
    <w:rsid w:val="00911EAA"/>
    <w:rsid w:val="009200A0"/>
    <w:rsid w:val="00932D0A"/>
    <w:rsid w:val="009347C0"/>
    <w:rsid w:val="009360FC"/>
    <w:rsid w:val="00954307"/>
    <w:rsid w:val="00955F62"/>
    <w:rsid w:val="009641DE"/>
    <w:rsid w:val="00967E43"/>
    <w:rsid w:val="00974855"/>
    <w:rsid w:val="00983323"/>
    <w:rsid w:val="00986CCC"/>
    <w:rsid w:val="00990AC1"/>
    <w:rsid w:val="009A4F88"/>
    <w:rsid w:val="009B0864"/>
    <w:rsid w:val="009B42FE"/>
    <w:rsid w:val="009B66FD"/>
    <w:rsid w:val="009B7108"/>
    <w:rsid w:val="009C0B34"/>
    <w:rsid w:val="009C7649"/>
    <w:rsid w:val="009C7F01"/>
    <w:rsid w:val="009D4E10"/>
    <w:rsid w:val="009E02E2"/>
    <w:rsid w:val="009E25BF"/>
    <w:rsid w:val="009E3F04"/>
    <w:rsid w:val="009F5ABC"/>
    <w:rsid w:val="00A01E81"/>
    <w:rsid w:val="00A02F62"/>
    <w:rsid w:val="00A053B4"/>
    <w:rsid w:val="00A06F6C"/>
    <w:rsid w:val="00A0775C"/>
    <w:rsid w:val="00A137F1"/>
    <w:rsid w:val="00A267AE"/>
    <w:rsid w:val="00A313D9"/>
    <w:rsid w:val="00A3696D"/>
    <w:rsid w:val="00A4038A"/>
    <w:rsid w:val="00A462AC"/>
    <w:rsid w:val="00A547F7"/>
    <w:rsid w:val="00A56612"/>
    <w:rsid w:val="00A5741E"/>
    <w:rsid w:val="00A6348C"/>
    <w:rsid w:val="00A7279D"/>
    <w:rsid w:val="00A75BE7"/>
    <w:rsid w:val="00A8773C"/>
    <w:rsid w:val="00A92A2E"/>
    <w:rsid w:val="00A97223"/>
    <w:rsid w:val="00AA6357"/>
    <w:rsid w:val="00AC1C83"/>
    <w:rsid w:val="00AD29B5"/>
    <w:rsid w:val="00AE217B"/>
    <w:rsid w:val="00AE3183"/>
    <w:rsid w:val="00AE7FAE"/>
    <w:rsid w:val="00AF092D"/>
    <w:rsid w:val="00AF22FC"/>
    <w:rsid w:val="00B14197"/>
    <w:rsid w:val="00B1444E"/>
    <w:rsid w:val="00B44FE9"/>
    <w:rsid w:val="00B45860"/>
    <w:rsid w:val="00B47F28"/>
    <w:rsid w:val="00B543B5"/>
    <w:rsid w:val="00B606BD"/>
    <w:rsid w:val="00B73B7E"/>
    <w:rsid w:val="00B75EEB"/>
    <w:rsid w:val="00B82A4A"/>
    <w:rsid w:val="00B90B21"/>
    <w:rsid w:val="00B955F5"/>
    <w:rsid w:val="00BA38A7"/>
    <w:rsid w:val="00BA54AA"/>
    <w:rsid w:val="00BB2B07"/>
    <w:rsid w:val="00BC1653"/>
    <w:rsid w:val="00BC6AFD"/>
    <w:rsid w:val="00BD1CC0"/>
    <w:rsid w:val="00BD4686"/>
    <w:rsid w:val="00BD5F6C"/>
    <w:rsid w:val="00BD62B7"/>
    <w:rsid w:val="00C10569"/>
    <w:rsid w:val="00C16D95"/>
    <w:rsid w:val="00C221F8"/>
    <w:rsid w:val="00C2469A"/>
    <w:rsid w:val="00C27B73"/>
    <w:rsid w:val="00C338F4"/>
    <w:rsid w:val="00C455FD"/>
    <w:rsid w:val="00C57521"/>
    <w:rsid w:val="00C82317"/>
    <w:rsid w:val="00CB7B61"/>
    <w:rsid w:val="00CC31D9"/>
    <w:rsid w:val="00CE0C74"/>
    <w:rsid w:val="00D05C3E"/>
    <w:rsid w:val="00D145AF"/>
    <w:rsid w:val="00D22E5C"/>
    <w:rsid w:val="00D27960"/>
    <w:rsid w:val="00D34805"/>
    <w:rsid w:val="00D36FC4"/>
    <w:rsid w:val="00D53705"/>
    <w:rsid w:val="00D53BB4"/>
    <w:rsid w:val="00D66A10"/>
    <w:rsid w:val="00D743A1"/>
    <w:rsid w:val="00D75178"/>
    <w:rsid w:val="00D8009B"/>
    <w:rsid w:val="00D80B91"/>
    <w:rsid w:val="00D833B8"/>
    <w:rsid w:val="00D8639B"/>
    <w:rsid w:val="00DA1CD3"/>
    <w:rsid w:val="00DA5172"/>
    <w:rsid w:val="00DA7A55"/>
    <w:rsid w:val="00DB5E14"/>
    <w:rsid w:val="00DC3520"/>
    <w:rsid w:val="00DD0127"/>
    <w:rsid w:val="00DD7F5D"/>
    <w:rsid w:val="00DF0D9C"/>
    <w:rsid w:val="00DF4184"/>
    <w:rsid w:val="00DF71C5"/>
    <w:rsid w:val="00E01930"/>
    <w:rsid w:val="00E02B75"/>
    <w:rsid w:val="00E04BF4"/>
    <w:rsid w:val="00E14E89"/>
    <w:rsid w:val="00E15265"/>
    <w:rsid w:val="00E25614"/>
    <w:rsid w:val="00E26DAA"/>
    <w:rsid w:val="00E27F11"/>
    <w:rsid w:val="00E3158E"/>
    <w:rsid w:val="00E32755"/>
    <w:rsid w:val="00E45645"/>
    <w:rsid w:val="00E45838"/>
    <w:rsid w:val="00E45A80"/>
    <w:rsid w:val="00E529EC"/>
    <w:rsid w:val="00E55F86"/>
    <w:rsid w:val="00E57DB4"/>
    <w:rsid w:val="00E57EF6"/>
    <w:rsid w:val="00E64F0C"/>
    <w:rsid w:val="00E66EF4"/>
    <w:rsid w:val="00E67967"/>
    <w:rsid w:val="00E83161"/>
    <w:rsid w:val="00E84AC7"/>
    <w:rsid w:val="00E852E0"/>
    <w:rsid w:val="00EA2F2F"/>
    <w:rsid w:val="00EA3E18"/>
    <w:rsid w:val="00EB54CE"/>
    <w:rsid w:val="00ED0B98"/>
    <w:rsid w:val="00ED0DF3"/>
    <w:rsid w:val="00EE50BB"/>
    <w:rsid w:val="00EF4753"/>
    <w:rsid w:val="00F020C6"/>
    <w:rsid w:val="00F02CF7"/>
    <w:rsid w:val="00F05C9F"/>
    <w:rsid w:val="00F05E0D"/>
    <w:rsid w:val="00F161F3"/>
    <w:rsid w:val="00F16430"/>
    <w:rsid w:val="00F37DD8"/>
    <w:rsid w:val="00F42365"/>
    <w:rsid w:val="00F55386"/>
    <w:rsid w:val="00F654C5"/>
    <w:rsid w:val="00F8382C"/>
    <w:rsid w:val="00F842EA"/>
    <w:rsid w:val="00F85274"/>
    <w:rsid w:val="00F861A8"/>
    <w:rsid w:val="00F935B2"/>
    <w:rsid w:val="00F9539C"/>
    <w:rsid w:val="00F96137"/>
    <w:rsid w:val="00FB2C65"/>
    <w:rsid w:val="00FB7A2F"/>
    <w:rsid w:val="00FC77E1"/>
    <w:rsid w:val="00FD5F0D"/>
    <w:rsid w:val="00FD69EE"/>
    <w:rsid w:val="00FE12D3"/>
    <w:rsid w:val="00FE3279"/>
    <w:rsid w:val="00FF040B"/>
    <w:rsid w:val="00FF3FB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8EFD3"/>
  <w15:docId w15:val="{334DBC5D-FFCB-4199-91BD-915C3CF4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ja-JP"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ACA"/>
  </w:style>
  <w:style w:type="paragraph" w:styleId="Ttulo1">
    <w:name w:val="heading 1"/>
    <w:basedOn w:val="Normal"/>
    <w:next w:val="Normal"/>
    <w:uiPriority w:val="9"/>
    <w:qFormat/>
    <w:rsid w:val="002D1ACA"/>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rsid w:val="002D1ACA"/>
    <w:pPr>
      <w:keepNext/>
      <w:widowControl/>
      <w:spacing w:after="0" w:line="240" w:lineRule="auto"/>
      <w:outlineLvl w:val="1"/>
    </w:pPr>
    <w:rPr>
      <w:rFonts w:ascii="Arial" w:eastAsia="Arial" w:hAnsi="Arial" w:cs="Arial"/>
      <w:b/>
      <w:color w:val="808080"/>
      <w:sz w:val="14"/>
      <w:szCs w:val="14"/>
    </w:rPr>
  </w:style>
  <w:style w:type="paragraph" w:styleId="Ttulo3">
    <w:name w:val="heading 3"/>
    <w:basedOn w:val="Normal"/>
    <w:next w:val="Normal"/>
    <w:uiPriority w:val="9"/>
    <w:semiHidden/>
    <w:unhideWhenUsed/>
    <w:qFormat/>
    <w:rsid w:val="002D1ACA"/>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rsid w:val="002D1ACA"/>
    <w:pPr>
      <w:keepNext/>
      <w:keepLines/>
      <w:spacing w:before="40" w:after="0"/>
      <w:outlineLvl w:val="3"/>
    </w:pPr>
    <w:rPr>
      <w:i/>
      <w:color w:val="2E75B5"/>
    </w:rPr>
  </w:style>
  <w:style w:type="paragraph" w:styleId="Ttulo5">
    <w:name w:val="heading 5"/>
    <w:basedOn w:val="Normal"/>
    <w:next w:val="Normal"/>
    <w:uiPriority w:val="9"/>
    <w:semiHidden/>
    <w:unhideWhenUsed/>
    <w:qFormat/>
    <w:rsid w:val="002D1ACA"/>
    <w:pPr>
      <w:keepNext/>
      <w:keepLines/>
      <w:spacing w:before="220" w:after="40"/>
      <w:outlineLvl w:val="4"/>
    </w:pPr>
    <w:rPr>
      <w:b/>
    </w:rPr>
  </w:style>
  <w:style w:type="paragraph" w:styleId="Ttulo6">
    <w:name w:val="heading 6"/>
    <w:basedOn w:val="Normal"/>
    <w:next w:val="Normal"/>
    <w:uiPriority w:val="9"/>
    <w:semiHidden/>
    <w:unhideWhenUsed/>
    <w:qFormat/>
    <w:rsid w:val="002D1A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2D1AC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rsid w:val="002D1ACA"/>
    <w:tblPr>
      <w:tblCellMar>
        <w:top w:w="0" w:type="dxa"/>
        <w:left w:w="0" w:type="dxa"/>
        <w:bottom w:w="0" w:type="dxa"/>
        <w:right w:w="0" w:type="dxa"/>
      </w:tblCellMar>
    </w:tblPr>
  </w:style>
  <w:style w:type="table" w:customStyle="1" w:styleId="TableNormal10">
    <w:name w:val="Table Normal1"/>
    <w:rsid w:val="002D1ACA"/>
    <w:tblPr>
      <w:tblCellMar>
        <w:top w:w="0" w:type="dxa"/>
        <w:left w:w="0" w:type="dxa"/>
        <w:bottom w:w="0" w:type="dxa"/>
        <w:right w:w="0" w:type="dxa"/>
      </w:tblCellMar>
    </w:tblPr>
  </w:style>
  <w:style w:type="paragraph" w:styleId="Subttulo">
    <w:name w:val="Subtitle"/>
    <w:basedOn w:val="Normal"/>
    <w:next w:val="Normal"/>
    <w:uiPriority w:val="11"/>
    <w:qFormat/>
    <w:pPr>
      <w:spacing w:after="160"/>
    </w:pPr>
    <w:rPr>
      <w:color w:val="5A5A5A"/>
    </w:rPr>
  </w:style>
  <w:style w:type="table" w:customStyle="1" w:styleId="a">
    <w:basedOn w:val="TableNormal10"/>
    <w:rsid w:val="002D1ACA"/>
    <w:tblPr>
      <w:tblStyleRowBandSize w:val="1"/>
      <w:tblStyleColBandSize w:val="1"/>
      <w:tblCellMar>
        <w:top w:w="100" w:type="dxa"/>
        <w:left w:w="115" w:type="dxa"/>
        <w:bottom w:w="100" w:type="dxa"/>
        <w:right w:w="115" w:type="dxa"/>
      </w:tblCellMar>
    </w:tblPr>
  </w:style>
  <w:style w:type="table" w:customStyle="1" w:styleId="a0">
    <w:basedOn w:val="TableNormal10"/>
    <w:rsid w:val="002D1ACA"/>
    <w:tblPr>
      <w:tblStyleRowBandSize w:val="1"/>
      <w:tblStyleColBandSize w:val="1"/>
      <w:tblCellMar>
        <w:top w:w="100" w:type="dxa"/>
        <w:left w:w="115" w:type="dxa"/>
        <w:bottom w:w="100" w:type="dxa"/>
        <w:right w:w="115" w:type="dxa"/>
      </w:tblCellMar>
    </w:tblPr>
  </w:style>
  <w:style w:type="table" w:styleId="Tablaconcuadrcula">
    <w:name w:val="Table Grid"/>
    <w:basedOn w:val="Tablanormal"/>
    <w:uiPriority w:val="39"/>
    <w:rsid w:val="00BA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6470"/>
    <w:rPr>
      <w:color w:val="0000FF" w:themeColor="hyperlink"/>
      <w:u w:val="single"/>
    </w:rPr>
  </w:style>
  <w:style w:type="character" w:styleId="Refdecomentario">
    <w:name w:val="annotation reference"/>
    <w:basedOn w:val="Fuentedeprrafopredeter"/>
    <w:uiPriority w:val="99"/>
    <w:semiHidden/>
    <w:unhideWhenUsed/>
    <w:rsid w:val="0078347B"/>
    <w:rPr>
      <w:sz w:val="16"/>
      <w:szCs w:val="16"/>
    </w:rPr>
  </w:style>
  <w:style w:type="paragraph" w:styleId="Textocomentario">
    <w:name w:val="annotation text"/>
    <w:basedOn w:val="Normal"/>
    <w:link w:val="TextocomentarioCar"/>
    <w:uiPriority w:val="99"/>
    <w:unhideWhenUsed/>
    <w:rsid w:val="0078347B"/>
    <w:pPr>
      <w:spacing w:line="240" w:lineRule="auto"/>
    </w:pPr>
    <w:rPr>
      <w:sz w:val="20"/>
      <w:szCs w:val="20"/>
    </w:rPr>
  </w:style>
  <w:style w:type="character" w:customStyle="1" w:styleId="TextocomentarioCar">
    <w:name w:val="Texto comentario Car"/>
    <w:basedOn w:val="Fuentedeprrafopredeter"/>
    <w:link w:val="Textocomentario"/>
    <w:uiPriority w:val="99"/>
    <w:rsid w:val="0078347B"/>
    <w:rPr>
      <w:sz w:val="20"/>
      <w:szCs w:val="20"/>
    </w:rPr>
  </w:style>
  <w:style w:type="paragraph" w:styleId="Asuntodelcomentario">
    <w:name w:val="annotation subject"/>
    <w:basedOn w:val="Textocomentario"/>
    <w:next w:val="Textocomentario"/>
    <w:link w:val="AsuntodelcomentarioCar"/>
    <w:uiPriority w:val="99"/>
    <w:semiHidden/>
    <w:unhideWhenUsed/>
    <w:rsid w:val="0078347B"/>
    <w:rPr>
      <w:b/>
      <w:bCs/>
    </w:rPr>
  </w:style>
  <w:style w:type="character" w:customStyle="1" w:styleId="AsuntodelcomentarioCar">
    <w:name w:val="Asunto del comentario Car"/>
    <w:basedOn w:val="TextocomentarioCar"/>
    <w:link w:val="Asuntodelcomentario"/>
    <w:uiPriority w:val="99"/>
    <w:semiHidden/>
    <w:rsid w:val="0078347B"/>
    <w:rPr>
      <w:b/>
      <w:bCs/>
      <w:sz w:val="20"/>
      <w:szCs w:val="20"/>
    </w:rPr>
  </w:style>
  <w:style w:type="character" w:customStyle="1" w:styleId="Mentionnonrsolue1">
    <w:name w:val="Mention non résolue1"/>
    <w:basedOn w:val="Fuentedeprrafopredeter"/>
    <w:uiPriority w:val="99"/>
    <w:semiHidden/>
    <w:unhideWhenUsed/>
    <w:rsid w:val="0078347B"/>
    <w:rPr>
      <w:color w:val="605E5C"/>
      <w:shd w:val="clear" w:color="auto" w:fill="E1DFDD"/>
    </w:rPr>
  </w:style>
  <w:style w:type="table" w:customStyle="1" w:styleId="a1">
    <w:basedOn w:val="TableNormal8"/>
    <w:rsid w:val="002D1ACA"/>
    <w:tblPr>
      <w:tblStyleRowBandSize w:val="1"/>
      <w:tblStyleColBandSize w:val="1"/>
      <w:tblCellMar>
        <w:top w:w="100" w:type="dxa"/>
        <w:left w:w="115" w:type="dxa"/>
        <w:bottom w:w="100" w:type="dxa"/>
        <w:right w:w="115" w:type="dxa"/>
      </w:tblCellMar>
    </w:tblPr>
  </w:style>
  <w:style w:type="table" w:customStyle="1" w:styleId="a2">
    <w:basedOn w:val="TableNormal8"/>
    <w:rsid w:val="002D1ACA"/>
    <w:pPr>
      <w:spacing w:after="0" w:line="240" w:lineRule="auto"/>
    </w:pPr>
    <w:tblPr>
      <w:tblStyleRowBandSize w:val="1"/>
      <w:tblStyleColBandSize w:val="1"/>
      <w:tblCellMar>
        <w:left w:w="108" w:type="dxa"/>
        <w:right w:w="108" w:type="dxa"/>
      </w:tblCellMar>
    </w:tblPr>
  </w:style>
  <w:style w:type="table" w:customStyle="1" w:styleId="a3">
    <w:basedOn w:val="TableNormal8"/>
    <w:rsid w:val="002D1ACA"/>
    <w:pPr>
      <w:spacing w:after="0" w:line="240" w:lineRule="auto"/>
    </w:pPr>
    <w:tblPr>
      <w:tblStyleRowBandSize w:val="1"/>
      <w:tblStyleColBandSize w:val="1"/>
      <w:tblCellMar>
        <w:left w:w="108" w:type="dxa"/>
        <w:right w:w="108" w:type="dxa"/>
      </w:tblCellMar>
    </w:tblPr>
  </w:style>
  <w:style w:type="table" w:customStyle="1" w:styleId="a4">
    <w:basedOn w:val="TableNormal8"/>
    <w:rsid w:val="002D1ACA"/>
    <w:tblPr>
      <w:tblStyleRowBandSize w:val="1"/>
      <w:tblStyleColBandSize w:val="1"/>
      <w:tblCellMar>
        <w:top w:w="100" w:type="dxa"/>
        <w:left w:w="115" w:type="dxa"/>
        <w:bottom w:w="100" w:type="dxa"/>
        <w:right w:w="115" w:type="dxa"/>
      </w:tblCellMar>
    </w:tblPr>
  </w:style>
  <w:style w:type="paragraph" w:styleId="Textodeglobo">
    <w:name w:val="Balloon Text"/>
    <w:basedOn w:val="Normal"/>
    <w:link w:val="TextodegloboCar"/>
    <w:uiPriority w:val="99"/>
    <w:semiHidden/>
    <w:unhideWhenUsed/>
    <w:rsid w:val="008B758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B758F"/>
    <w:rPr>
      <w:rFonts w:ascii="Times New Roman" w:hAnsi="Times New Roman" w:cs="Times New Roman"/>
      <w:sz w:val="18"/>
      <w:szCs w:val="18"/>
    </w:rPr>
  </w:style>
  <w:style w:type="table" w:customStyle="1" w:styleId="a5">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8"/>
    <w:pPr>
      <w:spacing w:after="0" w:line="240" w:lineRule="auto"/>
    </w:pPr>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semiHidden/>
    <w:unhideWhenUsed/>
    <w:rsid w:val="009D2BA3"/>
    <w:pPr>
      <w:widowControl/>
      <w:spacing w:before="100" w:beforeAutospacing="1" w:after="100" w:afterAutospacing="1" w:line="240" w:lineRule="auto"/>
    </w:pPr>
    <w:rPr>
      <w:rFonts w:ascii="Times New Roman" w:eastAsia="Times New Roman" w:hAnsi="Times New Roman" w:cs="Times New Roman"/>
      <w:sz w:val="24"/>
      <w:szCs w:val="24"/>
    </w:rPr>
  </w:style>
  <w:style w:type="table" w:customStyle="1" w:styleId="a9">
    <w:basedOn w:val="TableNormal7"/>
    <w:tblPr>
      <w:tblStyleRowBandSize w:val="1"/>
      <w:tblStyleColBandSize w:val="1"/>
      <w:tblCellMar>
        <w:top w:w="100" w:type="dxa"/>
        <w:left w:w="100" w:type="dxa"/>
        <w:bottom w:w="100" w:type="dxa"/>
        <w:right w:w="100"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b">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c">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d">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e">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0">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1">
    <w:basedOn w:val="TableNormal0"/>
    <w:pPr>
      <w:spacing w:after="0" w:line="240" w:lineRule="auto"/>
    </w:pPr>
    <w:tblPr>
      <w:tblStyleRowBandSize w:val="1"/>
      <w:tblStyleColBandSize w:val="1"/>
      <w:tblCellMar>
        <w:top w:w="100" w:type="dxa"/>
        <w:left w:w="115" w:type="dxa"/>
        <w:bottom w:w="100" w:type="dxa"/>
        <w:right w:w="115" w:type="dxa"/>
      </w:tblCellMar>
    </w:tblPr>
  </w:style>
  <w:style w:type="character" w:customStyle="1" w:styleId="Mencinsinresolver1">
    <w:name w:val="Mención sin resolver1"/>
    <w:basedOn w:val="Fuentedeprrafopredeter"/>
    <w:uiPriority w:val="99"/>
    <w:semiHidden/>
    <w:unhideWhenUsed/>
    <w:rsid w:val="00E04BF4"/>
    <w:rPr>
      <w:color w:val="605E5C"/>
      <w:shd w:val="clear" w:color="auto" w:fill="E1DFDD"/>
    </w:rPr>
  </w:style>
  <w:style w:type="character" w:styleId="Hipervnculovisitado">
    <w:name w:val="FollowedHyperlink"/>
    <w:basedOn w:val="Fuentedeprrafopredeter"/>
    <w:uiPriority w:val="99"/>
    <w:semiHidden/>
    <w:unhideWhenUsed/>
    <w:rsid w:val="00ED0B98"/>
    <w:rPr>
      <w:color w:val="800080" w:themeColor="followedHyperlink"/>
      <w:u w:val="single"/>
    </w:rPr>
  </w:style>
  <w:style w:type="paragraph" w:styleId="Prrafodelista">
    <w:name w:val="List Paragraph"/>
    <w:basedOn w:val="Normal"/>
    <w:uiPriority w:val="34"/>
    <w:qFormat/>
    <w:rsid w:val="00505F99"/>
    <w:pPr>
      <w:ind w:left="720"/>
      <w:contextualSpacing/>
    </w:pPr>
  </w:style>
  <w:style w:type="character" w:styleId="Mencinsinresolver">
    <w:name w:val="Unresolved Mention"/>
    <w:basedOn w:val="Fuentedeprrafopredeter"/>
    <w:uiPriority w:val="99"/>
    <w:semiHidden/>
    <w:unhideWhenUsed/>
    <w:rsid w:val="00505F99"/>
    <w:rPr>
      <w:color w:val="605E5C"/>
      <w:shd w:val="clear" w:color="auto" w:fill="E1DFDD"/>
    </w:rPr>
  </w:style>
  <w:style w:type="paragraph" w:customStyle="1" w:styleId="Default">
    <w:name w:val="Default"/>
    <w:rsid w:val="005B0114"/>
    <w:pPr>
      <w:widowControl/>
      <w:autoSpaceDE w:val="0"/>
      <w:autoSpaceDN w:val="0"/>
      <w:adjustRightInd w:val="0"/>
      <w:spacing w:after="0" w:line="240" w:lineRule="auto"/>
    </w:pPr>
    <w:rPr>
      <w:color w:val="000000"/>
      <w:sz w:val="24"/>
      <w:szCs w:val="24"/>
    </w:rPr>
  </w:style>
  <w:style w:type="paragraph" w:styleId="Revisin">
    <w:name w:val="Revision"/>
    <w:hidden/>
    <w:uiPriority w:val="99"/>
    <w:semiHidden/>
    <w:rsid w:val="00D05C3E"/>
    <w:pPr>
      <w:widowControl/>
      <w:spacing w:after="0" w:line="240" w:lineRule="auto"/>
    </w:pPr>
  </w:style>
  <w:style w:type="paragraph" w:customStyle="1" w:styleId="Texto">
    <w:name w:val="_Texto"/>
    <w:qFormat/>
    <w:rsid w:val="00F842EA"/>
    <w:pPr>
      <w:widowControl/>
      <w:spacing w:after="120" w:line="360" w:lineRule="auto"/>
      <w:jc w:val="both"/>
    </w:pPr>
    <w:rPr>
      <w:rFonts w:ascii="Arial" w:eastAsia="Arial Unicode MS" w:hAnsi="Arial" w:cs="Arial Unicode MS"/>
      <w:sz w:val="20"/>
      <w:szCs w:val="20"/>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eva.es/Especies-y-Productos/Lista-de-productos/COXEVA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anna.conejos-external@ceva.com" TargetMode="External"/><Relationship Id="rId10" Type="http://schemas.openxmlformats.org/officeDocument/2006/relationships/hyperlink" Target="http://www.fiebreq.com" TargetMode="External"/><Relationship Id="rId4" Type="http://schemas.openxmlformats.org/officeDocument/2006/relationships/settings" Target="settings.xml"/><Relationship Id="rId9" Type="http://schemas.openxmlformats.org/officeDocument/2006/relationships/hyperlink" Target="https://www.ceva.es/Especies-y-Productos/Lista-de-productos/COXEVAC" TargetMode="External"/><Relationship Id="rId14" Type="http://schemas.openxmlformats.org/officeDocument/2006/relationships/hyperlink" Target="https://www.ce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OTiTuJnBn4Wh7w2kD7e3JWJFTg==">AMUW2mUnk7Q+B2gaU6+mhofSRoNwBmw6tg1A4XtqxVgF4DddE0zIRADAFghGDjP0hjuPUcvErU0RsBeJv9FuttgcAnQWcUhN/VXHWrtboghnSsBrkijsbkg=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671</Words>
  <Characters>3792</Characters>
  <Application>Microsoft Office Word</Application>
  <DocSecurity>0</DocSecurity>
  <Lines>77</Lines>
  <Paragraphs>23</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Anne-Laure GUILLAUME</dc:creator>
  <cp:lastModifiedBy>Sonia Trujillo</cp:lastModifiedBy>
  <cp:revision>13</cp:revision>
  <dcterms:created xsi:type="dcterms:W3CDTF">2023-11-07T09:16:00Z</dcterms:created>
  <dcterms:modified xsi:type="dcterms:W3CDTF">2023-11-07T13:29:00Z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5fc41011f19dad05115db0128f10bc182e9e28b7b5245b8c06dedd2e0d349c08</vt:lpwstr>
  </property>
</Properties>
</file>