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C1A0" w14:textId="685447B4" w:rsidR="006F4C39" w:rsidRPr="00342B65" w:rsidRDefault="006F4C39" w:rsidP="00827B7A">
      <w:pPr>
        <w:pStyle w:val="002Titular"/>
      </w:pPr>
      <w:r w:rsidRPr="00342B65">
        <w:t xml:space="preserve">Boehringer Ingelheim </w:t>
      </w:r>
      <w:r w:rsidR="00EA0F9F">
        <w:t>arrop</w:t>
      </w:r>
      <w:r w:rsidR="003852C3">
        <w:t>ó</w:t>
      </w:r>
      <w:r w:rsidR="00EA0F9F">
        <w:t xml:space="preserve"> </w:t>
      </w:r>
      <w:r w:rsidRPr="00342B65">
        <w:t xml:space="preserve">a </w:t>
      </w:r>
      <w:r w:rsidR="00EA0F9F">
        <w:t xml:space="preserve">los </w:t>
      </w:r>
      <w:r w:rsidRPr="00342B65">
        <w:t xml:space="preserve">más de 500 </w:t>
      </w:r>
      <w:r>
        <w:t xml:space="preserve">neurólogos </w:t>
      </w:r>
      <w:r w:rsidR="00EA0F9F">
        <w:t xml:space="preserve">que acudieron al </w:t>
      </w:r>
      <w:r w:rsidRPr="00342B65">
        <w:t>ESVN-ECVN</w:t>
      </w:r>
      <w:r>
        <w:t xml:space="preserve"> 2022</w:t>
      </w:r>
    </w:p>
    <w:p w14:paraId="1D6FCAAE" w14:textId="2AE5C15B" w:rsidR="006F4C39" w:rsidRPr="006F4C39" w:rsidRDefault="006F4C39" w:rsidP="006F4C39">
      <w:pPr>
        <w:pStyle w:val="Texto"/>
        <w:rPr>
          <w:rStyle w:val="Cursiva"/>
          <w:sz w:val="22"/>
          <w:szCs w:val="22"/>
        </w:rPr>
      </w:pPr>
      <w:r w:rsidRPr="006F4C39">
        <w:rPr>
          <w:rStyle w:val="Cursiva"/>
          <w:sz w:val="22"/>
          <w:szCs w:val="22"/>
        </w:rPr>
        <w:t xml:space="preserve">La compañía patrocinó </w:t>
      </w:r>
      <w:r w:rsidR="00A32D4F">
        <w:rPr>
          <w:rStyle w:val="Cursiva"/>
          <w:sz w:val="22"/>
          <w:szCs w:val="22"/>
        </w:rPr>
        <w:t xml:space="preserve">en calidad de </w:t>
      </w:r>
      <w:r w:rsidR="00A32D4F" w:rsidRPr="006F4C39">
        <w:rPr>
          <w:sz w:val="22"/>
          <w:szCs w:val="22"/>
        </w:rPr>
        <w:t>golden sponsor</w:t>
      </w:r>
      <w:r w:rsidR="00A32D4F" w:rsidRPr="006F4C39">
        <w:rPr>
          <w:rStyle w:val="Cursiva"/>
          <w:sz w:val="22"/>
          <w:szCs w:val="22"/>
        </w:rPr>
        <w:t xml:space="preserve"> </w:t>
      </w:r>
      <w:r w:rsidRPr="006F4C39">
        <w:rPr>
          <w:rStyle w:val="Cursiva"/>
          <w:sz w:val="22"/>
          <w:szCs w:val="22"/>
        </w:rPr>
        <w:t>el European Congress Veterinary Neurology</w:t>
      </w:r>
      <w:r w:rsidR="003852C3">
        <w:rPr>
          <w:rStyle w:val="Cursiva"/>
          <w:sz w:val="22"/>
          <w:szCs w:val="22"/>
        </w:rPr>
        <w:t xml:space="preserve">, que reunió los </w:t>
      </w:r>
      <w:r w:rsidRPr="006F4C39">
        <w:rPr>
          <w:rStyle w:val="Cursiva"/>
          <w:sz w:val="22"/>
          <w:szCs w:val="22"/>
        </w:rPr>
        <w:t>días 23 y 24 de septiembre en Palma de Mallorca</w:t>
      </w:r>
      <w:r w:rsidR="003852C3">
        <w:rPr>
          <w:rStyle w:val="Cursiva"/>
          <w:sz w:val="22"/>
          <w:szCs w:val="22"/>
        </w:rPr>
        <w:t xml:space="preserve"> a </w:t>
      </w:r>
      <w:r w:rsidR="001744F4">
        <w:rPr>
          <w:rStyle w:val="Cursiva"/>
          <w:sz w:val="22"/>
          <w:szCs w:val="22"/>
        </w:rPr>
        <w:t xml:space="preserve">un nutrido grupo de </w:t>
      </w:r>
      <w:r w:rsidR="003852C3">
        <w:rPr>
          <w:rStyle w:val="Cursiva"/>
          <w:sz w:val="22"/>
          <w:szCs w:val="22"/>
        </w:rPr>
        <w:t>especialistas veterinari</w:t>
      </w:r>
      <w:r w:rsidR="00827B7A">
        <w:rPr>
          <w:rStyle w:val="Cursiva"/>
          <w:sz w:val="22"/>
          <w:szCs w:val="22"/>
        </w:rPr>
        <w:t>os</w:t>
      </w:r>
      <w:r w:rsidR="003852C3">
        <w:rPr>
          <w:rStyle w:val="Cursiva"/>
          <w:sz w:val="22"/>
          <w:szCs w:val="22"/>
        </w:rPr>
        <w:t>.</w:t>
      </w:r>
    </w:p>
    <w:p w14:paraId="64BF277C" w14:textId="77777777" w:rsidR="006F4C39" w:rsidRDefault="006F4C39" w:rsidP="006F4C39">
      <w:pPr>
        <w:pStyle w:val="Texto"/>
        <w:rPr>
          <w:sz w:val="22"/>
          <w:szCs w:val="22"/>
        </w:rPr>
      </w:pPr>
    </w:p>
    <w:p w14:paraId="77DED0CF" w14:textId="041591DD" w:rsidR="006F4C39" w:rsidRPr="00342B65" w:rsidRDefault="006F4C39" w:rsidP="006F4C39">
      <w:pPr>
        <w:pStyle w:val="Texto"/>
        <w:rPr>
          <w:sz w:val="22"/>
          <w:szCs w:val="22"/>
        </w:rPr>
      </w:pPr>
      <w:r w:rsidRPr="003A797F">
        <w:rPr>
          <w:rStyle w:val="Negrita"/>
          <w:sz w:val="22"/>
          <w:szCs w:val="22"/>
        </w:rPr>
        <w:t xml:space="preserve">Sant Cugat del Vallès, </w:t>
      </w:r>
      <w:r w:rsidR="00256511">
        <w:rPr>
          <w:rStyle w:val="Negrita"/>
          <w:sz w:val="22"/>
          <w:szCs w:val="22"/>
        </w:rPr>
        <w:t>4</w:t>
      </w:r>
      <w:r>
        <w:rPr>
          <w:rStyle w:val="Negrita"/>
          <w:sz w:val="22"/>
          <w:szCs w:val="22"/>
        </w:rPr>
        <w:t xml:space="preserve"> </w:t>
      </w:r>
      <w:r w:rsidRPr="003A797F">
        <w:rPr>
          <w:rStyle w:val="Negrita"/>
          <w:sz w:val="22"/>
          <w:szCs w:val="22"/>
        </w:rPr>
        <w:t xml:space="preserve">de </w:t>
      </w:r>
      <w:r w:rsidR="00256511">
        <w:rPr>
          <w:rStyle w:val="Negrita"/>
          <w:sz w:val="22"/>
          <w:szCs w:val="22"/>
        </w:rPr>
        <w:t>octu</w:t>
      </w:r>
      <w:r>
        <w:rPr>
          <w:rStyle w:val="Negrita"/>
          <w:sz w:val="22"/>
          <w:szCs w:val="22"/>
        </w:rPr>
        <w:t xml:space="preserve">bre </w:t>
      </w:r>
      <w:r w:rsidRPr="003A797F">
        <w:rPr>
          <w:rStyle w:val="Negrita"/>
          <w:sz w:val="22"/>
          <w:szCs w:val="22"/>
        </w:rPr>
        <w:t>de 202</w:t>
      </w:r>
      <w:r>
        <w:rPr>
          <w:rStyle w:val="Negrita"/>
          <w:sz w:val="22"/>
          <w:szCs w:val="22"/>
        </w:rPr>
        <w:t>2</w:t>
      </w:r>
      <w:r w:rsidRPr="003A797F">
        <w:rPr>
          <w:rStyle w:val="Negrita"/>
          <w:sz w:val="22"/>
          <w:szCs w:val="22"/>
        </w:rPr>
        <w:t>.</w:t>
      </w:r>
      <w:r>
        <w:rPr>
          <w:rStyle w:val="Negrita"/>
          <w:sz w:val="22"/>
          <w:szCs w:val="22"/>
        </w:rPr>
        <w:t xml:space="preserve"> </w:t>
      </w:r>
      <w:r w:rsidRPr="00342B65">
        <w:rPr>
          <w:sz w:val="22"/>
          <w:szCs w:val="22"/>
        </w:rPr>
        <w:t>Boehringer Ingelheim estuvo presente en el 34</w:t>
      </w:r>
      <w:r w:rsidRPr="00342B65">
        <w:rPr>
          <w:rStyle w:val="Superindice"/>
          <w:sz w:val="22"/>
          <w:szCs w:val="22"/>
        </w:rPr>
        <w:t>th</w:t>
      </w:r>
      <w:r w:rsidRPr="00342B65">
        <w:rPr>
          <w:sz w:val="22"/>
          <w:szCs w:val="22"/>
        </w:rPr>
        <w:t xml:space="preserve"> European Congress Veterinary Neurology, organizado por la European Society of Veterinary Neurology (ESVN) y el European College of Veterinary Neurology (ECVN) los días 23 y 24 de septiembre en Palma de Mallorca. La compañía acudió como </w:t>
      </w:r>
      <w:r w:rsidRPr="00342B65">
        <w:rPr>
          <w:rStyle w:val="Cursiva"/>
          <w:sz w:val="22"/>
          <w:szCs w:val="22"/>
        </w:rPr>
        <w:t>golden sponsor</w:t>
      </w:r>
      <w:r w:rsidRPr="00342B65">
        <w:rPr>
          <w:sz w:val="22"/>
          <w:szCs w:val="22"/>
        </w:rPr>
        <w:t xml:space="preserve"> de un simposio que reunió a más de 500 especialistas en neurología veterinaria. </w:t>
      </w:r>
      <w:r w:rsidR="00827B7A">
        <w:rPr>
          <w:sz w:val="22"/>
          <w:szCs w:val="22"/>
        </w:rPr>
        <w:t xml:space="preserve">El programa incluyó ponencias de referentes en la especialidad tanto de salud humana como de salud animal. </w:t>
      </w:r>
      <w:r w:rsidRPr="00342B65">
        <w:rPr>
          <w:sz w:val="22"/>
          <w:szCs w:val="22"/>
        </w:rPr>
        <w:t xml:space="preserve">Este abordaje </w:t>
      </w:r>
      <w:proofErr w:type="spellStart"/>
      <w:r w:rsidRPr="00342B65">
        <w:rPr>
          <w:rStyle w:val="Cursiva"/>
          <w:sz w:val="22"/>
          <w:szCs w:val="22"/>
        </w:rPr>
        <w:t>One</w:t>
      </w:r>
      <w:proofErr w:type="spellEnd"/>
      <w:r w:rsidRPr="00342B65">
        <w:rPr>
          <w:rStyle w:val="Cursiva"/>
          <w:sz w:val="22"/>
          <w:szCs w:val="22"/>
        </w:rPr>
        <w:t xml:space="preserve"> </w:t>
      </w:r>
      <w:proofErr w:type="spellStart"/>
      <w:r w:rsidRPr="00342B65">
        <w:rPr>
          <w:rStyle w:val="Cursiva"/>
          <w:sz w:val="22"/>
          <w:szCs w:val="22"/>
        </w:rPr>
        <w:t>Health</w:t>
      </w:r>
      <w:proofErr w:type="spellEnd"/>
      <w:r w:rsidRPr="00342B65">
        <w:rPr>
          <w:sz w:val="22"/>
          <w:szCs w:val="22"/>
        </w:rPr>
        <w:t xml:space="preserve"> permitió exprimir al máximo </w:t>
      </w:r>
      <w:r>
        <w:rPr>
          <w:sz w:val="22"/>
          <w:szCs w:val="22"/>
        </w:rPr>
        <w:t xml:space="preserve">un </w:t>
      </w:r>
      <w:r w:rsidRPr="00342B65">
        <w:rPr>
          <w:sz w:val="22"/>
          <w:szCs w:val="22"/>
        </w:rPr>
        <w:t>encuentro</w:t>
      </w:r>
      <w:r>
        <w:rPr>
          <w:sz w:val="22"/>
          <w:szCs w:val="22"/>
        </w:rPr>
        <w:t xml:space="preserve"> centrado </w:t>
      </w:r>
      <w:r w:rsidRPr="00342B65">
        <w:rPr>
          <w:sz w:val="22"/>
          <w:szCs w:val="22"/>
        </w:rPr>
        <w:t xml:space="preserve">en las lesiones </w:t>
      </w:r>
      <w:r>
        <w:rPr>
          <w:sz w:val="22"/>
          <w:szCs w:val="22"/>
        </w:rPr>
        <w:t>de la médula espinal</w:t>
      </w:r>
      <w:r w:rsidRPr="00342B65">
        <w:rPr>
          <w:sz w:val="22"/>
          <w:szCs w:val="22"/>
        </w:rPr>
        <w:t xml:space="preserve">. </w:t>
      </w:r>
    </w:p>
    <w:p w14:paraId="39FD83CB" w14:textId="381A9FA4" w:rsidR="006F4C39" w:rsidRPr="00342B65" w:rsidRDefault="006F4C39" w:rsidP="006F4C39">
      <w:pPr>
        <w:pStyle w:val="Texto"/>
        <w:rPr>
          <w:sz w:val="22"/>
          <w:szCs w:val="22"/>
        </w:rPr>
      </w:pPr>
      <w:r w:rsidRPr="00342B65">
        <w:rPr>
          <w:sz w:val="22"/>
          <w:szCs w:val="22"/>
        </w:rPr>
        <w:t xml:space="preserve">Durante el encuentro, los ponentes </w:t>
      </w:r>
      <w:r w:rsidR="001744F4">
        <w:rPr>
          <w:sz w:val="22"/>
          <w:szCs w:val="22"/>
        </w:rPr>
        <w:t xml:space="preserve">analizaron </w:t>
      </w:r>
      <w:r w:rsidRPr="00342B65">
        <w:rPr>
          <w:sz w:val="22"/>
          <w:szCs w:val="22"/>
        </w:rPr>
        <w:t xml:space="preserve">aspectos de interés </w:t>
      </w:r>
      <w:r>
        <w:rPr>
          <w:sz w:val="22"/>
          <w:szCs w:val="22"/>
        </w:rPr>
        <w:t>profesional</w:t>
      </w:r>
      <w:r w:rsidR="001744F4">
        <w:rPr>
          <w:sz w:val="22"/>
          <w:szCs w:val="22"/>
        </w:rPr>
        <w:t xml:space="preserve"> desde la perspectiva de la </w:t>
      </w:r>
      <w:r w:rsidRPr="00342B65">
        <w:rPr>
          <w:sz w:val="22"/>
          <w:szCs w:val="22"/>
        </w:rPr>
        <w:t xml:space="preserve">medicina humana y </w:t>
      </w:r>
      <w:r w:rsidR="001744F4">
        <w:rPr>
          <w:sz w:val="22"/>
          <w:szCs w:val="22"/>
        </w:rPr>
        <w:t xml:space="preserve">de la </w:t>
      </w:r>
      <w:r w:rsidRPr="00342B65">
        <w:rPr>
          <w:sz w:val="22"/>
          <w:szCs w:val="22"/>
        </w:rPr>
        <w:t>veterinaria</w:t>
      </w:r>
      <w:r w:rsidR="001744F4">
        <w:rPr>
          <w:sz w:val="22"/>
          <w:szCs w:val="22"/>
        </w:rPr>
        <w:t>, lo que</w:t>
      </w:r>
      <w:r w:rsidRPr="00342B65">
        <w:rPr>
          <w:sz w:val="22"/>
          <w:szCs w:val="22"/>
        </w:rPr>
        <w:t xml:space="preserve"> permitió abarcar múltiples aspectos de la </w:t>
      </w:r>
      <w:r w:rsidR="001744F4">
        <w:rPr>
          <w:sz w:val="22"/>
          <w:szCs w:val="22"/>
        </w:rPr>
        <w:t>neurología</w:t>
      </w:r>
      <w:r w:rsidRPr="00342B65">
        <w:rPr>
          <w:sz w:val="22"/>
          <w:szCs w:val="22"/>
        </w:rPr>
        <w:t>, así como incidir en las últimas investigaciones y avances.</w:t>
      </w:r>
    </w:p>
    <w:p w14:paraId="4DB5E07B" w14:textId="4FBCAB59" w:rsidR="006F4C39" w:rsidRDefault="006F4C39" w:rsidP="006F4C39">
      <w:pPr>
        <w:pStyle w:val="Texto"/>
        <w:rPr>
          <w:sz w:val="22"/>
          <w:szCs w:val="22"/>
        </w:rPr>
      </w:pPr>
      <w:r w:rsidRPr="00342B65">
        <w:rPr>
          <w:sz w:val="22"/>
          <w:szCs w:val="22"/>
        </w:rPr>
        <w:t xml:space="preserve">Los congresistas pudieron actualizar sus conocimientos en aspectos como las diferentes formas de lesión aguda de la médula espinal, la cirugía mínimamente invasiva, la lesión crónica de la médula espinal, la reparación y regeneración de </w:t>
      </w:r>
      <w:r>
        <w:rPr>
          <w:sz w:val="22"/>
          <w:szCs w:val="22"/>
        </w:rPr>
        <w:t xml:space="preserve">este tipo de </w:t>
      </w:r>
      <w:r w:rsidRPr="00342B65">
        <w:rPr>
          <w:sz w:val="22"/>
          <w:szCs w:val="22"/>
        </w:rPr>
        <w:t>lesiones, el tratamiento de la parálisis crónica o la elasticidad de la médula espinal.</w:t>
      </w:r>
    </w:p>
    <w:p w14:paraId="5571B170" w14:textId="7C61B5EB" w:rsidR="006F4C39" w:rsidRDefault="00DE754C" w:rsidP="00DE754C">
      <w:pPr>
        <w:pStyle w:val="Texto"/>
        <w:rPr>
          <w:sz w:val="22"/>
          <w:szCs w:val="22"/>
        </w:rPr>
      </w:pPr>
      <w:r w:rsidRPr="00DE754C">
        <w:rPr>
          <w:sz w:val="22"/>
          <w:szCs w:val="22"/>
        </w:rPr>
        <w:t xml:space="preserve">En el área de la neurología, Boehringer Ingelheim pone al servicio de los veterinarios </w:t>
      </w:r>
      <w:hyperlink r:id="rId7" w:history="1">
        <w:proofErr w:type="spellStart"/>
        <w:r w:rsidRPr="00DE754C">
          <w:rPr>
            <w:rStyle w:val="Hipervnculo"/>
            <w:sz w:val="22"/>
            <w:szCs w:val="22"/>
          </w:rPr>
          <w:t>Pexion</w:t>
        </w:r>
        <w:proofErr w:type="spellEnd"/>
        <w:r w:rsidRPr="00DE754C">
          <w:rPr>
            <w:rStyle w:val="Hipervnculo"/>
            <w:vertAlign w:val="superscript"/>
          </w:rPr>
          <w:t>®</w:t>
        </w:r>
      </w:hyperlink>
      <w:r w:rsidRPr="00DE754C">
        <w:rPr>
          <w:sz w:val="22"/>
          <w:szCs w:val="22"/>
        </w:rPr>
        <w:t xml:space="preserve"> para el tratamiento de la epilepsia idiopática canina, único medicamento diseñado específicamente para el tratamiento de la epilepsia canina. Su alta seguridad, rápido mecanismo de acción, eficacia sostenida en el tiempo, y facilidad de administración convierten a </w:t>
      </w:r>
      <w:hyperlink r:id="rId8" w:history="1">
        <w:proofErr w:type="spellStart"/>
        <w:r w:rsidRPr="00DE754C">
          <w:rPr>
            <w:rStyle w:val="Hipervnculo"/>
            <w:sz w:val="22"/>
            <w:szCs w:val="22"/>
          </w:rPr>
          <w:t>Pexion</w:t>
        </w:r>
        <w:proofErr w:type="spellEnd"/>
        <w:r w:rsidRPr="00DE754C">
          <w:rPr>
            <w:rStyle w:val="Hipervnculo"/>
            <w:vertAlign w:val="superscript"/>
          </w:rPr>
          <w:t>®</w:t>
        </w:r>
      </w:hyperlink>
      <w:r w:rsidRPr="00DE754C">
        <w:rPr>
          <w:sz w:val="22"/>
          <w:szCs w:val="22"/>
        </w:rPr>
        <w:t xml:space="preserve"> en el tratamiento de elección para el manejo de esta patología desde su fase temprana</w:t>
      </w:r>
      <w:r w:rsidR="006F4C39" w:rsidRPr="00342B65">
        <w:rPr>
          <w:sz w:val="22"/>
          <w:szCs w:val="22"/>
        </w:rPr>
        <w:t>.</w:t>
      </w:r>
    </w:p>
    <w:p w14:paraId="03F97E5A" w14:textId="68963253" w:rsidR="006F4C39" w:rsidRDefault="006F4C39" w:rsidP="006F4C39">
      <w:pPr>
        <w:pStyle w:val="Texto"/>
        <w:rPr>
          <w:sz w:val="22"/>
          <w:szCs w:val="22"/>
        </w:rPr>
      </w:pPr>
    </w:p>
    <w:p w14:paraId="6515800E" w14:textId="77777777" w:rsidR="006F4C39" w:rsidRDefault="006F4C39" w:rsidP="006F4C39">
      <w:pPr>
        <w:pStyle w:val="Texto"/>
        <w:rPr>
          <w:sz w:val="22"/>
          <w:szCs w:val="22"/>
        </w:rPr>
      </w:pPr>
    </w:p>
    <w:p w14:paraId="2B7BAE38" w14:textId="77777777" w:rsidR="00885D32" w:rsidRPr="002B1BB4" w:rsidRDefault="00885D32" w:rsidP="00885D32">
      <w:pPr>
        <w:pStyle w:val="paragraph"/>
        <w:spacing w:after="0" w:afterAutospacing="0" w:line="276" w:lineRule="auto"/>
        <w:textAlignment w:val="baseline"/>
        <w:rPr>
          <w:rFonts w:ascii="Calibri" w:eastAsia="Calibri" w:hAnsi="Calibri"/>
          <w:b/>
          <w:bCs/>
          <w:sz w:val="18"/>
          <w:szCs w:val="18"/>
          <w:lang w:val="es-ES" w:eastAsia="en-US" w:bidi="th-TH"/>
        </w:rPr>
      </w:pPr>
      <w:r w:rsidRPr="002B1BB4">
        <w:rPr>
          <w:rFonts w:ascii="Calibri" w:eastAsia="Calibri" w:hAnsi="Calibri"/>
          <w:b/>
          <w:bCs/>
          <w:sz w:val="18"/>
          <w:szCs w:val="18"/>
          <w:lang w:val="es-ES" w:eastAsia="en-US" w:bidi="th-TH"/>
        </w:rPr>
        <w:t xml:space="preserve">Boehringer Ingelheim Animal </w:t>
      </w:r>
      <w:proofErr w:type="spellStart"/>
      <w:r w:rsidRPr="002B1BB4">
        <w:rPr>
          <w:rFonts w:ascii="Calibri" w:eastAsia="Calibri" w:hAnsi="Calibri"/>
          <w:b/>
          <w:bCs/>
          <w:sz w:val="18"/>
          <w:szCs w:val="18"/>
          <w:lang w:val="es-ES" w:eastAsia="en-US" w:bidi="th-TH"/>
        </w:rPr>
        <w:t>Health</w:t>
      </w:r>
      <w:proofErr w:type="spellEnd"/>
    </w:p>
    <w:p w14:paraId="42D75829" w14:textId="77777777" w:rsidR="00885D32" w:rsidRPr="00E36747" w:rsidRDefault="00885D32" w:rsidP="00885D32">
      <w:pPr>
        <w:pStyle w:val="paragraph"/>
        <w:spacing w:line="276" w:lineRule="auto"/>
        <w:textAlignment w:val="baseline"/>
        <w:rPr>
          <w:rFonts w:ascii="Calibri" w:eastAsia="Calibri" w:hAnsi="Calibri"/>
          <w:sz w:val="18"/>
          <w:szCs w:val="18"/>
          <w:lang w:val="es-ES" w:eastAsia="en-US" w:bidi="th-TH"/>
        </w:rPr>
      </w:pPr>
      <w:r w:rsidRPr="00E36747">
        <w:rPr>
          <w:rFonts w:ascii="Calibri" w:eastAsia="Calibri" w:hAnsi="Calibri"/>
          <w:sz w:val="18"/>
          <w:szCs w:val="18"/>
          <w:lang w:val="es-ES" w:eastAsia="en-US" w:bidi="th-TH"/>
        </w:rPr>
        <w:t xml:space="preserve">Boehringer Ingelheim Animal </w:t>
      </w:r>
      <w:proofErr w:type="spellStart"/>
      <w:r w:rsidRPr="00E36747">
        <w:rPr>
          <w:rFonts w:ascii="Calibri" w:eastAsia="Calibri" w:hAnsi="Calibri"/>
          <w:sz w:val="18"/>
          <w:szCs w:val="18"/>
          <w:lang w:val="es-ES" w:eastAsia="en-US" w:bidi="th-TH"/>
        </w:rPr>
        <w:t>Health</w:t>
      </w:r>
      <w:proofErr w:type="spellEnd"/>
      <w:r w:rsidRPr="00E36747">
        <w:rPr>
          <w:rFonts w:ascii="Calibri" w:eastAsia="Calibri" w:hAnsi="Calibri"/>
          <w:sz w:val="18"/>
          <w:szCs w:val="18"/>
          <w:lang w:val="es-ES" w:eastAsia="en-US" w:bidi="th-TH"/>
        </w:rPr>
        <w:t xml:space="preserve"> trabaja en innovación de primera clase para la predicción, prevención y tratamiento de enfermedades en animales. Para veterinarios, dueños de mascotas, granjeros y gobiernos en más de 150 países, ofrecemos una amplia e innovadora cartera de productos y servicios para mejorar la salud y el bienestar de los animales de compañía y el ganado. </w:t>
      </w:r>
    </w:p>
    <w:p w14:paraId="5A5DF11D" w14:textId="77777777" w:rsidR="00885D32" w:rsidRPr="00E36747" w:rsidRDefault="00885D32" w:rsidP="00885D32">
      <w:pPr>
        <w:pStyle w:val="paragraph"/>
        <w:spacing w:line="276" w:lineRule="auto"/>
        <w:textAlignment w:val="baseline"/>
        <w:rPr>
          <w:rFonts w:ascii="Calibri" w:eastAsia="Calibri" w:hAnsi="Calibri"/>
          <w:sz w:val="18"/>
          <w:szCs w:val="18"/>
          <w:lang w:val="es-ES" w:eastAsia="en-US" w:bidi="th-TH"/>
        </w:rPr>
      </w:pPr>
      <w:r w:rsidRPr="00E36747">
        <w:rPr>
          <w:rFonts w:ascii="Calibri" w:eastAsia="Calibri" w:hAnsi="Calibri"/>
          <w:sz w:val="18"/>
          <w:szCs w:val="18"/>
          <w:lang w:val="es-ES" w:eastAsia="en-US" w:bidi="th-TH"/>
        </w:rPr>
        <w:lastRenderedPageBreak/>
        <w:t xml:space="preserve">Como líder mundial en la industria de la salud animal y como parte de Boehringer Ingelheim, compañía de propiedad familiar, adoptamos una perspectiva a largo plazo. </w:t>
      </w:r>
    </w:p>
    <w:p w14:paraId="60F7C5AB" w14:textId="77777777" w:rsidR="00885D32" w:rsidRPr="00E36747" w:rsidRDefault="00885D32" w:rsidP="00885D32">
      <w:pPr>
        <w:pStyle w:val="paragraph"/>
        <w:spacing w:before="120" w:beforeAutospacing="0" w:after="0" w:afterAutospacing="0" w:line="276" w:lineRule="auto"/>
        <w:textAlignment w:val="baseline"/>
        <w:rPr>
          <w:rFonts w:ascii="Calibri" w:eastAsia="Calibri" w:hAnsi="Calibri"/>
          <w:sz w:val="18"/>
          <w:szCs w:val="18"/>
          <w:lang w:val="es-ES" w:eastAsia="en-US" w:bidi="th-TH"/>
        </w:rPr>
      </w:pPr>
      <w:r w:rsidRPr="00E36747">
        <w:rPr>
          <w:rFonts w:ascii="Calibri" w:eastAsia="Calibri" w:hAnsi="Calibri"/>
          <w:sz w:val="18"/>
          <w:szCs w:val="18"/>
          <w:lang w:val="es-ES" w:eastAsia="en-US" w:bidi="th-TH"/>
        </w:rPr>
        <w:t>Las vidas de los animales y los humanos están interconectadas de maneras profundas y complejas. Sabemos que cuando los animales están sanos, los humanos también lo están. Al utilizar las sinergias entre nuestras empresas de salud animal y humana y al ofrecer valor a través de la innovación, mejoramos la salud y el bienestar de ambas.</w:t>
      </w:r>
    </w:p>
    <w:p w14:paraId="1C670CB0" w14:textId="77777777" w:rsidR="00885D32" w:rsidRPr="00E36747" w:rsidRDefault="00885D32" w:rsidP="00885D32">
      <w:pPr>
        <w:pStyle w:val="paragraph"/>
        <w:spacing w:before="120" w:beforeAutospacing="0" w:after="0" w:afterAutospacing="0" w:line="276" w:lineRule="auto"/>
        <w:textAlignment w:val="baseline"/>
        <w:rPr>
          <w:rFonts w:ascii="Calibri" w:eastAsia="Calibri" w:hAnsi="Calibri"/>
          <w:sz w:val="18"/>
          <w:szCs w:val="18"/>
          <w:lang w:val="es-ES" w:eastAsia="en-US" w:bidi="th-TH"/>
        </w:rPr>
      </w:pPr>
      <w:r w:rsidRPr="00E36747">
        <w:rPr>
          <w:rFonts w:ascii="Calibri" w:eastAsia="Calibri" w:hAnsi="Calibri"/>
          <w:sz w:val="18"/>
          <w:szCs w:val="18"/>
          <w:lang w:val="es-ES" w:eastAsia="en-US" w:bidi="th-TH"/>
        </w:rPr>
        <w:t xml:space="preserve">Para más información consulta: </w:t>
      </w:r>
      <w:hyperlink r:id="rId9" w:history="1">
        <w:r w:rsidRPr="001F3109">
          <w:rPr>
            <w:rStyle w:val="Hipervnculo"/>
            <w:rFonts w:ascii="Calibri" w:eastAsia="Calibri" w:hAnsi="Calibri"/>
            <w:sz w:val="18"/>
            <w:szCs w:val="18"/>
            <w:lang w:val="es-ES" w:eastAsia="en-US" w:bidi="th-TH"/>
          </w:rPr>
          <w:t>https://www.boehringer-ingelheim.es/salud-animal</w:t>
        </w:r>
      </w:hyperlink>
      <w:r w:rsidRPr="00E36747">
        <w:rPr>
          <w:rFonts w:ascii="Calibri" w:eastAsia="Calibri" w:hAnsi="Calibri"/>
          <w:sz w:val="18"/>
          <w:szCs w:val="18"/>
          <w:lang w:val="es-ES" w:eastAsia="en-US" w:bidi="th-TH"/>
        </w:rPr>
        <w:t xml:space="preserve"> </w:t>
      </w:r>
    </w:p>
    <w:p w14:paraId="385E6E11" w14:textId="77777777" w:rsidR="00885D32" w:rsidRPr="00050CD0" w:rsidRDefault="00885D32" w:rsidP="00885D32">
      <w:pPr>
        <w:shd w:val="clear" w:color="auto" w:fill="FFFFFF"/>
        <w:rPr>
          <w:rFonts w:ascii="Calibri" w:hAnsi="Calibri" w:cs="Calibri"/>
          <w:color w:val="222222"/>
          <w:sz w:val="18"/>
          <w:szCs w:val="18"/>
        </w:rPr>
      </w:pPr>
    </w:p>
    <w:p w14:paraId="415DD712" w14:textId="2559D3DD" w:rsidR="00885D32" w:rsidRPr="006F4C39" w:rsidRDefault="00885D32" w:rsidP="00885D32">
      <w:pPr>
        <w:shd w:val="clear" w:color="auto" w:fill="FFFFFF"/>
        <w:rPr>
          <w:rFonts w:asciiTheme="minorHAnsi" w:hAnsiTheme="minorHAnsi" w:cstheme="minorHAnsi"/>
          <w:sz w:val="18"/>
          <w:szCs w:val="18"/>
        </w:rPr>
      </w:pPr>
      <w:r w:rsidRPr="006F4C39">
        <w:rPr>
          <w:rFonts w:asciiTheme="minorHAnsi" w:hAnsiTheme="minorHAnsi" w:cstheme="minorHAnsi"/>
          <w:color w:val="222222"/>
          <w:sz w:val="18"/>
          <w:szCs w:val="18"/>
        </w:rPr>
        <w:t xml:space="preserve">La ficha técnica de </w:t>
      </w:r>
      <w:proofErr w:type="spellStart"/>
      <w:r w:rsidR="006F4C39" w:rsidRPr="006F4C39">
        <w:rPr>
          <w:rFonts w:asciiTheme="minorHAnsi" w:hAnsiTheme="minorHAnsi" w:cstheme="minorHAnsi"/>
          <w:color w:val="222222"/>
          <w:sz w:val="18"/>
          <w:szCs w:val="18"/>
        </w:rPr>
        <w:t>Pexion</w:t>
      </w:r>
      <w:proofErr w:type="spellEnd"/>
      <w:r w:rsidRPr="006F4C39">
        <w:rPr>
          <w:rStyle w:val="Superindice"/>
          <w:rFonts w:asciiTheme="minorHAnsi" w:hAnsiTheme="minorHAnsi" w:cstheme="minorHAnsi"/>
          <w:sz w:val="18"/>
          <w:szCs w:val="18"/>
        </w:rPr>
        <w:t>®</w:t>
      </w:r>
      <w:r w:rsidRPr="006F4C39">
        <w:rPr>
          <w:rFonts w:asciiTheme="minorHAnsi" w:hAnsiTheme="minorHAnsi" w:cstheme="minorHAnsi"/>
          <w:color w:val="222222"/>
          <w:sz w:val="18"/>
          <w:szCs w:val="18"/>
        </w:rPr>
        <w:t xml:space="preserve"> está disponibles en este enlace:</w:t>
      </w:r>
      <w:r w:rsidRPr="006F4C39">
        <w:rPr>
          <w:rFonts w:asciiTheme="minorHAnsi" w:hAnsiTheme="minorHAnsi" w:cstheme="minorHAnsi"/>
          <w:sz w:val="18"/>
          <w:szCs w:val="18"/>
        </w:rPr>
        <w:t xml:space="preserve"> </w:t>
      </w:r>
    </w:p>
    <w:p w14:paraId="3F31C598" w14:textId="180886BC" w:rsidR="00885D32" w:rsidRPr="006F4C39" w:rsidRDefault="00256511" w:rsidP="00885D32">
      <w:pPr>
        <w:shd w:val="clear" w:color="auto" w:fill="FFFFFF"/>
        <w:rPr>
          <w:rFonts w:asciiTheme="minorHAnsi" w:hAnsiTheme="minorHAnsi" w:cstheme="minorHAnsi"/>
          <w:sz w:val="18"/>
          <w:szCs w:val="18"/>
        </w:rPr>
      </w:pPr>
      <w:hyperlink r:id="rId10" w:history="1">
        <w:r w:rsidR="006F4C39" w:rsidRPr="006F4C39">
          <w:rPr>
            <w:rStyle w:val="Hipervnculo"/>
            <w:rFonts w:asciiTheme="minorHAnsi" w:hAnsiTheme="minorHAnsi" w:cstheme="minorHAnsi"/>
            <w:sz w:val="18"/>
            <w:szCs w:val="18"/>
          </w:rPr>
          <w:t>https://cimavet.aemps.es/cimavet/pdfs/es/ft/EU%402%4012%40147%40001/FT_EU-2-12-147-001.pdf</w:t>
        </w:r>
      </w:hyperlink>
    </w:p>
    <w:p w14:paraId="7F7C5103" w14:textId="77777777" w:rsidR="006F4C39" w:rsidRPr="00E36747" w:rsidRDefault="006F4C39" w:rsidP="00885D32">
      <w:pPr>
        <w:shd w:val="clear" w:color="auto" w:fill="FFFFFF"/>
        <w:rPr>
          <w:rFonts w:cs="Arial"/>
          <w:sz w:val="18"/>
          <w:szCs w:val="18"/>
        </w:rPr>
      </w:pPr>
    </w:p>
    <w:p w14:paraId="1929C0E2" w14:textId="77777777" w:rsidR="00382E17" w:rsidRDefault="00382E17"/>
    <w:sectPr w:rsidR="00382E17" w:rsidSect="0037123F">
      <w:headerReference w:type="default" r:id="rId11"/>
      <w:footerReference w:type="default" r:id="rId12"/>
      <w:pgSz w:w="11906" w:h="16838" w:code="9"/>
      <w:pgMar w:top="851" w:right="851"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CECB" w14:textId="77777777" w:rsidR="009369BD" w:rsidRDefault="003852C3">
      <w:pPr>
        <w:spacing w:line="240" w:lineRule="auto"/>
      </w:pPr>
      <w:r>
        <w:separator/>
      </w:r>
    </w:p>
  </w:endnote>
  <w:endnote w:type="continuationSeparator" w:id="0">
    <w:p w14:paraId="11690D63" w14:textId="77777777" w:rsidR="009369BD" w:rsidRDefault="00385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FD99" w14:textId="77777777" w:rsidR="0037123F" w:rsidRDefault="00256511">
    <w:pPr>
      <w:pStyle w:val="Piedepgin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DB01" w14:textId="77777777" w:rsidR="009369BD" w:rsidRDefault="003852C3">
      <w:pPr>
        <w:spacing w:line="240" w:lineRule="auto"/>
      </w:pPr>
      <w:r>
        <w:separator/>
      </w:r>
    </w:p>
  </w:footnote>
  <w:footnote w:type="continuationSeparator" w:id="0">
    <w:p w14:paraId="65699C39" w14:textId="77777777" w:rsidR="009369BD" w:rsidRDefault="00385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86D2" w14:textId="2B138C5A" w:rsidR="00D25D02" w:rsidRDefault="00885D32" w:rsidP="00D25D02">
    <w:pPr>
      <w:pStyle w:val="Encabezado"/>
      <w:jc w:val="right"/>
    </w:pPr>
    <w:r>
      <w:tab/>
    </w:r>
    <w:r>
      <w:tab/>
    </w:r>
    <w:r>
      <w:rPr>
        <w:noProof/>
      </w:rPr>
      <w:drawing>
        <wp:inline distT="0" distB="0" distL="0" distR="0" wp14:anchorId="73763DD2" wp14:editId="07C4FC66">
          <wp:extent cx="1828800" cy="6121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84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6677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AB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7CA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0C9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D6F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89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AFA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8F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66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D5EC6"/>
    <w:multiLevelType w:val="hybridMultilevel"/>
    <w:tmpl w:val="3BA48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52B3453"/>
    <w:multiLevelType w:val="hybridMultilevel"/>
    <w:tmpl w:val="63A66740"/>
    <w:lvl w:ilvl="0" w:tplc="AC4691D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C81217"/>
    <w:multiLevelType w:val="hybridMultilevel"/>
    <w:tmpl w:val="51520F22"/>
    <w:lvl w:ilvl="0" w:tplc="0C7C580E">
      <w:start w:val="1"/>
      <w:numFmt w:val="bullet"/>
      <w:pStyle w:val="060Bullets"/>
      <w:lvlText w:val=""/>
      <w:lvlJc w:val="left"/>
      <w:pPr>
        <w:ind w:left="-708" w:hanging="360"/>
      </w:pPr>
      <w:rPr>
        <w:rFonts w:ascii="Symbol" w:hAnsi="Symbol" w:hint="default"/>
      </w:rPr>
    </w:lvl>
    <w:lvl w:ilvl="1" w:tplc="0C0A0003" w:tentative="1">
      <w:start w:val="1"/>
      <w:numFmt w:val="bullet"/>
      <w:lvlText w:val="o"/>
      <w:lvlJc w:val="left"/>
      <w:pPr>
        <w:ind w:left="12" w:hanging="360"/>
      </w:pPr>
      <w:rPr>
        <w:rFonts w:ascii="Courier New" w:hAnsi="Courier New" w:cs="Courier New" w:hint="default"/>
      </w:rPr>
    </w:lvl>
    <w:lvl w:ilvl="2" w:tplc="0C0A0005" w:tentative="1">
      <w:start w:val="1"/>
      <w:numFmt w:val="bullet"/>
      <w:lvlText w:val=""/>
      <w:lvlJc w:val="left"/>
      <w:pPr>
        <w:ind w:left="732" w:hanging="360"/>
      </w:pPr>
      <w:rPr>
        <w:rFonts w:ascii="Wingdings" w:hAnsi="Wingdings" w:hint="default"/>
      </w:rPr>
    </w:lvl>
    <w:lvl w:ilvl="3" w:tplc="0C0A0001" w:tentative="1">
      <w:start w:val="1"/>
      <w:numFmt w:val="bullet"/>
      <w:lvlText w:val=""/>
      <w:lvlJc w:val="left"/>
      <w:pPr>
        <w:ind w:left="1452" w:hanging="360"/>
      </w:pPr>
      <w:rPr>
        <w:rFonts w:ascii="Symbol" w:hAnsi="Symbol" w:hint="default"/>
      </w:rPr>
    </w:lvl>
    <w:lvl w:ilvl="4" w:tplc="0C0A0003" w:tentative="1">
      <w:start w:val="1"/>
      <w:numFmt w:val="bullet"/>
      <w:lvlText w:val="o"/>
      <w:lvlJc w:val="left"/>
      <w:pPr>
        <w:ind w:left="2172" w:hanging="360"/>
      </w:pPr>
      <w:rPr>
        <w:rFonts w:ascii="Courier New" w:hAnsi="Courier New" w:cs="Courier New" w:hint="default"/>
      </w:rPr>
    </w:lvl>
    <w:lvl w:ilvl="5" w:tplc="0C0A0005" w:tentative="1">
      <w:start w:val="1"/>
      <w:numFmt w:val="bullet"/>
      <w:lvlText w:val=""/>
      <w:lvlJc w:val="left"/>
      <w:pPr>
        <w:ind w:left="2892" w:hanging="360"/>
      </w:pPr>
      <w:rPr>
        <w:rFonts w:ascii="Wingdings" w:hAnsi="Wingdings" w:hint="default"/>
      </w:rPr>
    </w:lvl>
    <w:lvl w:ilvl="6" w:tplc="0C0A0001" w:tentative="1">
      <w:start w:val="1"/>
      <w:numFmt w:val="bullet"/>
      <w:lvlText w:val=""/>
      <w:lvlJc w:val="left"/>
      <w:pPr>
        <w:ind w:left="3612" w:hanging="360"/>
      </w:pPr>
      <w:rPr>
        <w:rFonts w:ascii="Symbol" w:hAnsi="Symbol" w:hint="default"/>
      </w:rPr>
    </w:lvl>
    <w:lvl w:ilvl="7" w:tplc="0C0A0003" w:tentative="1">
      <w:start w:val="1"/>
      <w:numFmt w:val="bullet"/>
      <w:lvlText w:val="o"/>
      <w:lvlJc w:val="left"/>
      <w:pPr>
        <w:ind w:left="4332" w:hanging="360"/>
      </w:pPr>
      <w:rPr>
        <w:rFonts w:ascii="Courier New" w:hAnsi="Courier New" w:cs="Courier New" w:hint="default"/>
      </w:rPr>
    </w:lvl>
    <w:lvl w:ilvl="8" w:tplc="0C0A0005" w:tentative="1">
      <w:start w:val="1"/>
      <w:numFmt w:val="bullet"/>
      <w:lvlText w:val=""/>
      <w:lvlJc w:val="left"/>
      <w:pPr>
        <w:ind w:left="5052" w:hanging="360"/>
      </w:pPr>
      <w:rPr>
        <w:rFonts w:ascii="Wingdings" w:hAnsi="Wingdings" w:hint="default"/>
      </w:rPr>
    </w:lvl>
  </w:abstractNum>
  <w:num w:numId="1" w16cid:durableId="1304458033">
    <w:abstractNumId w:val="11"/>
  </w:num>
  <w:num w:numId="2" w16cid:durableId="227812659">
    <w:abstractNumId w:val="8"/>
  </w:num>
  <w:num w:numId="3" w16cid:durableId="1046830504">
    <w:abstractNumId w:val="3"/>
  </w:num>
  <w:num w:numId="4" w16cid:durableId="914976226">
    <w:abstractNumId w:val="2"/>
  </w:num>
  <w:num w:numId="5" w16cid:durableId="862673965">
    <w:abstractNumId w:val="1"/>
  </w:num>
  <w:num w:numId="6" w16cid:durableId="108089231">
    <w:abstractNumId w:val="0"/>
  </w:num>
  <w:num w:numId="7" w16cid:durableId="1414929367">
    <w:abstractNumId w:val="9"/>
  </w:num>
  <w:num w:numId="8" w16cid:durableId="1144270814">
    <w:abstractNumId w:val="7"/>
  </w:num>
  <w:num w:numId="9" w16cid:durableId="405038304">
    <w:abstractNumId w:val="6"/>
  </w:num>
  <w:num w:numId="10" w16cid:durableId="528108136">
    <w:abstractNumId w:val="5"/>
  </w:num>
  <w:num w:numId="11" w16cid:durableId="753433906">
    <w:abstractNumId w:val="4"/>
  </w:num>
  <w:num w:numId="12" w16cid:durableId="967395444">
    <w:abstractNumId w:val="12"/>
  </w:num>
  <w:num w:numId="13" w16cid:durableId="1457871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68"/>
    <w:rsid w:val="001744F4"/>
    <w:rsid w:val="00256511"/>
    <w:rsid w:val="00283EE1"/>
    <w:rsid w:val="00382E17"/>
    <w:rsid w:val="003852C3"/>
    <w:rsid w:val="006F4C39"/>
    <w:rsid w:val="00827B7A"/>
    <w:rsid w:val="00885D32"/>
    <w:rsid w:val="009369BD"/>
    <w:rsid w:val="0093776B"/>
    <w:rsid w:val="00A226AE"/>
    <w:rsid w:val="00A32D4F"/>
    <w:rsid w:val="00D83968"/>
    <w:rsid w:val="00DE754C"/>
    <w:rsid w:val="00EA0F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CF93"/>
  <w15:chartTrackingRefBased/>
  <w15:docId w15:val="{99B5C804-C58D-4E22-AC4E-5124F6EE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11"/>
    <w:pPr>
      <w:spacing w:after="0" w:line="360" w:lineRule="auto"/>
      <w:jc w:val="both"/>
    </w:pPr>
    <w:rPr>
      <w:rFonts w:ascii="Arial" w:eastAsia="Calibri" w:hAnsi="Arial" w:cs="Times New Roman"/>
      <w:sz w:val="20"/>
    </w:rPr>
  </w:style>
  <w:style w:type="paragraph" w:styleId="Ttulo1">
    <w:name w:val="heading 1"/>
    <w:next w:val="Normal"/>
    <w:link w:val="Ttulo1Car"/>
    <w:uiPriority w:val="10"/>
    <w:rsid w:val="00256511"/>
    <w:pPr>
      <w:keepNext/>
      <w:spacing w:before="240" w:after="60" w:line="240" w:lineRule="auto"/>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rsid w:val="0025651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56511"/>
  </w:style>
  <w:style w:type="character" w:styleId="Hipervnculo">
    <w:name w:val="Hyperlink"/>
    <w:uiPriority w:val="99"/>
    <w:unhideWhenUsed/>
    <w:rsid w:val="00885D32"/>
    <w:rPr>
      <w:color w:val="0000FF"/>
      <w:u w:val="single"/>
    </w:rPr>
  </w:style>
  <w:style w:type="paragraph" w:customStyle="1" w:styleId="Texto">
    <w:name w:val="_Texto"/>
    <w:qFormat/>
    <w:rsid w:val="00256511"/>
    <w:pPr>
      <w:spacing w:after="120" w:line="360" w:lineRule="auto"/>
      <w:jc w:val="both"/>
    </w:pPr>
    <w:rPr>
      <w:rFonts w:ascii="Arial" w:eastAsia="Arial Unicode MS" w:hAnsi="Arial" w:cs="Arial Unicode MS"/>
      <w:sz w:val="20"/>
      <w:szCs w:val="20"/>
      <w:u w:color="000000"/>
      <w:bdr w:val="nil"/>
      <w:lang w:val="es-ES_tradnl" w:eastAsia="es-ES"/>
    </w:rPr>
  </w:style>
  <w:style w:type="character" w:customStyle="1" w:styleId="Superindice">
    <w:name w:val="___Superindice"/>
    <w:basedOn w:val="Fuentedeprrafopredeter"/>
    <w:rsid w:val="00256511"/>
    <w:rPr>
      <w:vertAlign w:val="superscript"/>
    </w:rPr>
  </w:style>
  <w:style w:type="character" w:customStyle="1" w:styleId="Cursiva">
    <w:name w:val="___Cursiva"/>
    <w:basedOn w:val="Fuentedeprrafopredeter"/>
    <w:rsid w:val="00256511"/>
    <w:rPr>
      <w:b w:val="0"/>
      <w:i/>
    </w:rPr>
  </w:style>
  <w:style w:type="character" w:customStyle="1" w:styleId="Negrita">
    <w:name w:val="___Negrita"/>
    <w:basedOn w:val="Fuentedeprrafopredeter"/>
    <w:rsid w:val="00256511"/>
    <w:rPr>
      <w:b/>
      <w:i w:val="0"/>
    </w:rPr>
  </w:style>
  <w:style w:type="paragraph" w:customStyle="1" w:styleId="002Titular">
    <w:name w:val="_002_Titular"/>
    <w:next w:val="003Subtitular"/>
    <w:qFormat/>
    <w:rsid w:val="00256511"/>
    <w:pPr>
      <w:spacing w:after="0" w:line="360" w:lineRule="auto"/>
      <w:jc w:val="both"/>
    </w:pPr>
    <w:rPr>
      <w:rFonts w:ascii="Arial" w:eastAsia="Arial Unicode MS" w:hAnsi="Arial" w:cs="Arial Unicode MS"/>
      <w:b/>
      <w:bCs/>
      <w:sz w:val="44"/>
      <w:szCs w:val="36"/>
      <w:u w:color="000000"/>
      <w:bdr w:val="nil"/>
      <w:lang w:val="es-ES_tradnl" w:eastAsia="es-ES"/>
    </w:rPr>
  </w:style>
  <w:style w:type="paragraph" w:styleId="Piedepgina">
    <w:name w:val="footer"/>
    <w:basedOn w:val="Normal"/>
    <w:link w:val="PiedepginaCar"/>
    <w:rsid w:val="00885D32"/>
    <w:pPr>
      <w:tabs>
        <w:tab w:val="center" w:pos="4536"/>
        <w:tab w:val="right" w:pos="9072"/>
      </w:tabs>
    </w:pPr>
    <w:rPr>
      <w:rFonts w:eastAsia="Times New Roman"/>
      <w:sz w:val="24"/>
      <w:szCs w:val="20"/>
      <w:lang w:val="de-DE" w:eastAsia="de-DE"/>
    </w:rPr>
  </w:style>
  <w:style w:type="character" w:customStyle="1" w:styleId="PiedepginaCar">
    <w:name w:val="Pie de página Car"/>
    <w:basedOn w:val="Fuentedeprrafopredeter"/>
    <w:link w:val="Piedepgina"/>
    <w:rsid w:val="00885D32"/>
    <w:rPr>
      <w:rFonts w:ascii="Arial" w:eastAsia="Times New Roman" w:hAnsi="Arial" w:cs="Times New Roman"/>
      <w:sz w:val="24"/>
      <w:szCs w:val="20"/>
      <w:lang w:val="de-DE" w:eastAsia="de-DE"/>
    </w:rPr>
  </w:style>
  <w:style w:type="paragraph" w:styleId="Encabezado">
    <w:name w:val="header"/>
    <w:basedOn w:val="Normal"/>
    <w:link w:val="EncabezadoCar"/>
    <w:uiPriority w:val="99"/>
    <w:semiHidden/>
    <w:unhideWhenUsed/>
    <w:rsid w:val="00885D32"/>
    <w:pPr>
      <w:tabs>
        <w:tab w:val="center" w:pos="4252"/>
        <w:tab w:val="right" w:pos="8504"/>
      </w:tabs>
    </w:pPr>
    <w:rPr>
      <w:szCs w:val="20"/>
      <w:lang w:val="en-GB" w:eastAsia="x-none"/>
    </w:rPr>
  </w:style>
  <w:style w:type="character" w:customStyle="1" w:styleId="EncabezadoCar">
    <w:name w:val="Encabezado Car"/>
    <w:basedOn w:val="Fuentedeprrafopredeter"/>
    <w:link w:val="Encabezado"/>
    <w:uiPriority w:val="99"/>
    <w:semiHidden/>
    <w:rsid w:val="00885D32"/>
    <w:rPr>
      <w:rFonts w:ascii="Arial" w:eastAsia="Calibri" w:hAnsi="Arial" w:cs="Times New Roman"/>
      <w:sz w:val="20"/>
      <w:szCs w:val="20"/>
      <w:lang w:val="en-GB" w:eastAsia="x-none"/>
    </w:rPr>
  </w:style>
  <w:style w:type="paragraph" w:customStyle="1" w:styleId="paragraph">
    <w:name w:val="paragraph"/>
    <w:basedOn w:val="Normal"/>
    <w:rsid w:val="00885D3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tulo1Car">
    <w:name w:val="Título 1 Car"/>
    <w:basedOn w:val="Fuentedeprrafopredeter"/>
    <w:link w:val="Ttulo1"/>
    <w:uiPriority w:val="10"/>
    <w:rsid w:val="00256511"/>
    <w:rPr>
      <w:rFonts w:ascii="Cambria" w:eastAsia="Times New Roman" w:hAnsi="Cambria" w:cs="Times New Roman"/>
      <w:b/>
      <w:bCs/>
      <w:kern w:val="32"/>
      <w:sz w:val="32"/>
      <w:szCs w:val="32"/>
    </w:rPr>
  </w:style>
  <w:style w:type="paragraph" w:customStyle="1" w:styleId="013Ladillo004">
    <w:name w:val="_013_Ladillo_004"/>
    <w:basedOn w:val="012Ladillo003"/>
    <w:qFormat/>
    <w:rsid w:val="00256511"/>
    <w:rPr>
      <w:sz w:val="24"/>
      <w:szCs w:val="24"/>
    </w:rPr>
  </w:style>
  <w:style w:type="paragraph" w:customStyle="1" w:styleId="030Destacado">
    <w:name w:val="_030_Destacado"/>
    <w:basedOn w:val="Texto"/>
    <w:qFormat/>
    <w:rsid w:val="00256511"/>
    <w:pPr>
      <w:spacing w:after="0"/>
    </w:pPr>
    <w:rPr>
      <w:i/>
      <w:color w:val="FF0066"/>
      <w:sz w:val="30"/>
      <w:szCs w:val="30"/>
    </w:rPr>
  </w:style>
  <w:style w:type="paragraph" w:customStyle="1" w:styleId="001Antetitular">
    <w:name w:val="_001_Antetitular"/>
    <w:next w:val="002Titular"/>
    <w:qFormat/>
    <w:rsid w:val="00256511"/>
    <w:pPr>
      <w:spacing w:after="0" w:line="360" w:lineRule="auto"/>
      <w:jc w:val="both"/>
    </w:pPr>
    <w:rPr>
      <w:rFonts w:ascii="Arial" w:eastAsia="Calibri" w:hAnsi="Arial" w:cs="Times New Roman"/>
      <w:b/>
      <w:sz w:val="34"/>
      <w:szCs w:val="34"/>
    </w:rPr>
  </w:style>
  <w:style w:type="character" w:customStyle="1" w:styleId="Subindice">
    <w:name w:val="___Subindice"/>
    <w:basedOn w:val="Fuentedeprrafopredeter"/>
    <w:rsid w:val="00256511"/>
    <w:rPr>
      <w:vertAlign w:val="subscript"/>
    </w:rPr>
  </w:style>
  <w:style w:type="character" w:customStyle="1" w:styleId="Redonda">
    <w:name w:val="___Redonda"/>
    <w:basedOn w:val="Fuentedeprrafopredeter"/>
    <w:rsid w:val="00256511"/>
    <w:rPr>
      <w:vertAlign w:val="baseline"/>
    </w:rPr>
  </w:style>
  <w:style w:type="character" w:customStyle="1" w:styleId="NegritayCursiva">
    <w:name w:val="___NegritayCursiva"/>
    <w:basedOn w:val="Fuentedeprrafopredeter"/>
    <w:rsid w:val="00256511"/>
    <w:rPr>
      <w:b/>
      <w:i/>
    </w:rPr>
  </w:style>
  <w:style w:type="paragraph" w:customStyle="1" w:styleId="003Subtitular">
    <w:name w:val="_003_Subtitular"/>
    <w:next w:val="004Firma-Autor"/>
    <w:qFormat/>
    <w:rsid w:val="00256511"/>
    <w:pPr>
      <w:spacing w:after="0" w:line="360" w:lineRule="auto"/>
      <w:jc w:val="both"/>
    </w:pPr>
    <w:rPr>
      <w:rFonts w:ascii="Arial" w:eastAsia="Arial Unicode MS" w:hAnsi="Arial" w:cs="Arial Unicode MS"/>
      <w:sz w:val="40"/>
      <w:szCs w:val="32"/>
      <w:u w:color="000000"/>
      <w:bdr w:val="nil"/>
      <w:lang w:val="es-ES_tradnl" w:eastAsia="es-ES"/>
    </w:rPr>
  </w:style>
  <w:style w:type="paragraph" w:customStyle="1" w:styleId="004Firma-Autor">
    <w:name w:val="_004_Firma-Autor"/>
    <w:next w:val="Texto"/>
    <w:qFormat/>
    <w:rsid w:val="00256511"/>
    <w:pPr>
      <w:spacing w:after="0" w:line="360" w:lineRule="auto"/>
      <w:jc w:val="both"/>
    </w:pPr>
    <w:rPr>
      <w:rFonts w:ascii="Arial" w:eastAsia="Arial Unicode MS" w:hAnsi="Arial" w:cs="Arial Unicode MS"/>
      <w:i/>
      <w:iCs/>
      <w:sz w:val="26"/>
      <w:szCs w:val="26"/>
      <w:u w:color="000000"/>
      <w:bdr w:val="nil"/>
      <w:lang w:val="es-ES_tradnl" w:eastAsia="es-ES"/>
    </w:rPr>
  </w:style>
  <w:style w:type="paragraph" w:customStyle="1" w:styleId="010Ladillo001">
    <w:name w:val="_010_Ladillo_001"/>
    <w:qFormat/>
    <w:rsid w:val="00256511"/>
    <w:pPr>
      <w:spacing w:after="0" w:line="360" w:lineRule="auto"/>
      <w:jc w:val="both"/>
    </w:pPr>
    <w:rPr>
      <w:rFonts w:ascii="Arial" w:eastAsia="Arial Unicode MS" w:hAnsi="Arial" w:cs="Arial Unicode MS"/>
      <w:b/>
      <w:bCs/>
      <w:sz w:val="36"/>
      <w:szCs w:val="36"/>
      <w:u w:color="000000"/>
      <w:bdr w:val="nil"/>
      <w:lang w:val="es-ES_tradnl" w:eastAsia="es-ES"/>
    </w:rPr>
  </w:style>
  <w:style w:type="paragraph" w:customStyle="1" w:styleId="011Ladillo002">
    <w:name w:val="_011_Ladillo_002"/>
    <w:next w:val="Texto"/>
    <w:qFormat/>
    <w:rsid w:val="00256511"/>
    <w:pPr>
      <w:spacing w:after="0" w:line="360" w:lineRule="auto"/>
      <w:jc w:val="both"/>
    </w:pPr>
    <w:rPr>
      <w:rFonts w:ascii="Arial" w:eastAsia="Arial Unicode MS" w:hAnsi="Arial" w:cs="Arial Unicode MS"/>
      <w:b/>
      <w:bCs/>
      <w:sz w:val="32"/>
      <w:szCs w:val="32"/>
      <w:u w:color="000000"/>
      <w:bdr w:val="nil"/>
      <w:lang w:val="es-ES_tradnl" w:eastAsia="es-ES"/>
    </w:rPr>
  </w:style>
  <w:style w:type="paragraph" w:customStyle="1" w:styleId="012Ladillo003">
    <w:name w:val="_012_Ladillo_003"/>
    <w:next w:val="Texto"/>
    <w:qFormat/>
    <w:rsid w:val="00256511"/>
    <w:pPr>
      <w:spacing w:after="0" w:line="360" w:lineRule="auto"/>
      <w:jc w:val="both"/>
    </w:pPr>
    <w:rPr>
      <w:rFonts w:ascii="Arial" w:eastAsia="Arial Unicode MS" w:hAnsi="Arial" w:cs="Arial Unicode MS"/>
      <w:b/>
      <w:bCs/>
      <w:sz w:val="28"/>
      <w:szCs w:val="28"/>
      <w:u w:color="000000"/>
      <w:bdr w:val="nil"/>
      <w:lang w:val="es-ES_tradnl" w:eastAsia="es-ES"/>
    </w:rPr>
  </w:style>
  <w:style w:type="paragraph" w:customStyle="1" w:styleId="020TitularDespiece">
    <w:name w:val="_020_Titular_Despiece"/>
    <w:basedOn w:val="001Antetitular"/>
    <w:qFormat/>
    <w:rsid w:val="00256511"/>
    <w:rPr>
      <w:color w:val="00B050"/>
      <w:sz w:val="38"/>
      <w:szCs w:val="38"/>
    </w:rPr>
  </w:style>
  <w:style w:type="paragraph" w:customStyle="1" w:styleId="021TextoDespiece">
    <w:name w:val="_021_Texto_Despiece"/>
    <w:basedOn w:val="020TitularDespiece"/>
    <w:qFormat/>
    <w:rsid w:val="00256511"/>
    <w:rPr>
      <w:sz w:val="22"/>
      <w:szCs w:val="22"/>
    </w:rPr>
  </w:style>
  <w:style w:type="paragraph" w:customStyle="1" w:styleId="040FigurasyTablasTit">
    <w:name w:val="_040_FigurasyTablas_Tit"/>
    <w:basedOn w:val="Texto"/>
    <w:qFormat/>
    <w:rsid w:val="00256511"/>
    <w:pPr>
      <w:spacing w:after="0"/>
    </w:pPr>
    <w:rPr>
      <w:sz w:val="16"/>
      <w:szCs w:val="16"/>
    </w:rPr>
  </w:style>
  <w:style w:type="paragraph" w:customStyle="1" w:styleId="050FigurasyTablasPie">
    <w:name w:val="_050_FigurasyTablas_Pie"/>
    <w:basedOn w:val="Texto"/>
    <w:qFormat/>
    <w:rsid w:val="00256511"/>
    <w:pPr>
      <w:spacing w:after="0"/>
    </w:pPr>
    <w:rPr>
      <w:sz w:val="14"/>
      <w:szCs w:val="14"/>
    </w:rPr>
  </w:style>
  <w:style w:type="character" w:customStyle="1" w:styleId="SubindiceNegrita-Cursiva">
    <w:name w:val="___Subindice_Negrita-Cursiva"/>
    <w:basedOn w:val="Fuentedeprrafopredeter"/>
    <w:uiPriority w:val="1"/>
    <w:qFormat/>
    <w:rsid w:val="00256511"/>
    <w:rPr>
      <w:b/>
      <w:i/>
      <w:vertAlign w:val="subscript"/>
    </w:rPr>
  </w:style>
  <w:style w:type="character" w:customStyle="1" w:styleId="SuperindiceNegrita-Cursiva">
    <w:name w:val="___Superindice_Negrita-Cursiva"/>
    <w:basedOn w:val="Fuentedeprrafopredeter"/>
    <w:uiPriority w:val="1"/>
    <w:qFormat/>
    <w:rsid w:val="00256511"/>
    <w:rPr>
      <w:b/>
      <w:i/>
      <w:vertAlign w:val="superscript"/>
    </w:rPr>
  </w:style>
  <w:style w:type="character" w:customStyle="1" w:styleId="SubindiceNegrita">
    <w:name w:val="___Subindice_Negrita"/>
    <w:basedOn w:val="Fuentedeprrafopredeter"/>
    <w:uiPriority w:val="1"/>
    <w:qFormat/>
    <w:rsid w:val="00256511"/>
    <w:rPr>
      <w:b/>
      <w:vertAlign w:val="subscript"/>
    </w:rPr>
  </w:style>
  <w:style w:type="character" w:customStyle="1" w:styleId="SuperindiceNegrita">
    <w:name w:val="___Superindice_Negrita"/>
    <w:basedOn w:val="Fuentedeprrafopredeter"/>
    <w:uiPriority w:val="1"/>
    <w:qFormat/>
    <w:rsid w:val="00256511"/>
    <w:rPr>
      <w:b/>
      <w:vertAlign w:val="superscript"/>
    </w:rPr>
  </w:style>
  <w:style w:type="character" w:customStyle="1" w:styleId="SubindiceCursiva">
    <w:name w:val="___Subindice_Cursiva"/>
    <w:basedOn w:val="Subindice"/>
    <w:uiPriority w:val="1"/>
    <w:qFormat/>
    <w:rsid w:val="00256511"/>
    <w:rPr>
      <w:i/>
      <w:vertAlign w:val="subscript"/>
    </w:rPr>
  </w:style>
  <w:style w:type="character" w:customStyle="1" w:styleId="SuperindiceCursiva">
    <w:name w:val="___Superindice_Cursiva"/>
    <w:basedOn w:val="Superindice"/>
    <w:uiPriority w:val="1"/>
    <w:qFormat/>
    <w:rsid w:val="00256511"/>
    <w:rPr>
      <w:i/>
      <w:vertAlign w:val="superscript"/>
    </w:rPr>
  </w:style>
  <w:style w:type="paragraph" w:customStyle="1" w:styleId="060Bullets">
    <w:name w:val="_060_Bullets"/>
    <w:basedOn w:val="Texto"/>
    <w:qFormat/>
    <w:rsid w:val="00256511"/>
    <w:pPr>
      <w:numPr>
        <w:numId w:val="12"/>
      </w:numPr>
      <w:spacing w:after="0"/>
      <w:ind w:left="709" w:hanging="709"/>
      <w:contextualSpacing/>
    </w:pPr>
    <w:rPr>
      <w:sz w:val="18"/>
      <w:szCs w:val="18"/>
    </w:rPr>
  </w:style>
  <w:style w:type="character" w:customStyle="1" w:styleId="Versalitas">
    <w:name w:val="___Versalitas"/>
    <w:basedOn w:val="Fuentedeprrafopredeter"/>
    <w:uiPriority w:val="1"/>
    <w:qFormat/>
    <w:rsid w:val="00256511"/>
    <w:rPr>
      <w:smallCaps/>
    </w:rPr>
  </w:style>
  <w:style w:type="character" w:customStyle="1" w:styleId="VersalitasCursiva">
    <w:name w:val="___Versalitas_Cursiva"/>
    <w:basedOn w:val="Versalitas"/>
    <w:uiPriority w:val="1"/>
    <w:qFormat/>
    <w:rsid w:val="00256511"/>
    <w:rPr>
      <w:i/>
      <w:smallCaps/>
    </w:rPr>
  </w:style>
  <w:style w:type="character" w:customStyle="1" w:styleId="VersalitasNegrita">
    <w:name w:val="___Versalitas_Negrita"/>
    <w:basedOn w:val="Versalitas"/>
    <w:uiPriority w:val="1"/>
    <w:qFormat/>
    <w:rsid w:val="00256511"/>
    <w:rPr>
      <w:b/>
      <w:smallCaps/>
    </w:rPr>
  </w:style>
  <w:style w:type="character" w:customStyle="1" w:styleId="VersalitasNegrita-Cursiva">
    <w:name w:val="___Versalitas_Negrita-Cursiva"/>
    <w:basedOn w:val="Versalitas"/>
    <w:uiPriority w:val="1"/>
    <w:qFormat/>
    <w:rsid w:val="00256511"/>
    <w:rPr>
      <w:b/>
      <w:i/>
      <w:smallCaps/>
    </w:rPr>
  </w:style>
  <w:style w:type="character" w:styleId="Mencinsinresolver">
    <w:name w:val="Unresolved Mention"/>
    <w:basedOn w:val="Fuentedeprrafopredeter"/>
    <w:uiPriority w:val="99"/>
    <w:semiHidden/>
    <w:unhideWhenUsed/>
    <w:rsid w:val="006F4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mavet.aemps.es/cimavet/pdfs/es/ft/EU%402%4012%40147%40001/FT_EU-2-12-147-0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mavet.aemps.es/cimavet/pdfs/es/ft/EU%402%4012%40147%40001/FT_EU-2-12-147-00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imavet.aemps.es/cimavet/pdfs/es/ft/EU%402%4012%40147%40001/FT_EU-2-12-147-001.pdf" TargetMode="External"/><Relationship Id="rId4" Type="http://schemas.openxmlformats.org/officeDocument/2006/relationships/webSettings" Target="webSettings.xml"/><Relationship Id="rId9" Type="http://schemas.openxmlformats.org/officeDocument/2006/relationships/hyperlink" Target="https://www.boehringer-ingelheim.es/salud-anim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tos-svr\compartida\GA_Macros\_Plantilla_Word_G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_Plantilla_Word_GA</Template>
  <TotalTime>11</TotalTime>
  <Pages>2</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Salvador</dc:creator>
  <cp:keywords/>
  <dc:description/>
  <cp:lastModifiedBy>Israel Salvador</cp:lastModifiedBy>
  <cp:revision>4</cp:revision>
  <dcterms:created xsi:type="dcterms:W3CDTF">2022-09-28T07:22:00Z</dcterms:created>
  <dcterms:modified xsi:type="dcterms:W3CDTF">2022-10-04T07:06:00Z</dcterms:modified>
</cp:coreProperties>
</file>