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4D8A" w14:textId="0AF6AC17" w:rsidR="00737AE4" w:rsidRPr="00737AE4" w:rsidRDefault="00737AE4" w:rsidP="00804261">
      <w:pPr>
        <w:pStyle w:val="002Titular"/>
      </w:pPr>
      <w:r>
        <w:t>C</w:t>
      </w:r>
      <w:r w:rsidRPr="00737AE4">
        <w:t xml:space="preserve">eva </w:t>
      </w:r>
      <w:r>
        <w:t>S</w:t>
      </w:r>
      <w:r w:rsidRPr="00737AE4">
        <w:t xml:space="preserve">alud </w:t>
      </w:r>
      <w:r>
        <w:t>A</w:t>
      </w:r>
      <w:r w:rsidRPr="00737AE4">
        <w:t>nimal amplía su gama de analgesia</w:t>
      </w:r>
      <w:r>
        <w:t xml:space="preserve"> con Firodyl</w:t>
      </w:r>
      <w:r w:rsidRPr="00804261">
        <w:rPr>
          <w:rStyle w:val="Superindice"/>
        </w:rPr>
        <w:t>®</w:t>
      </w:r>
    </w:p>
    <w:p w14:paraId="14BF9A11" w14:textId="77777777" w:rsidR="006A1A37" w:rsidRDefault="00382239" w:rsidP="00382239">
      <w:pPr>
        <w:pStyle w:val="Texto"/>
      </w:pPr>
      <w:r>
        <w:t xml:space="preserve">La gama de analgesia de Ceva Salud Animal </w:t>
      </w:r>
      <w:r w:rsidR="006A1A37">
        <w:t>s</w:t>
      </w:r>
      <w:r>
        <w:t xml:space="preserve">e amplía con </w:t>
      </w:r>
      <w:r w:rsidR="00737AE4" w:rsidRPr="00737AE4">
        <w:t>Firodyl</w:t>
      </w:r>
      <w:r w:rsidR="00737AE4" w:rsidRPr="00804261">
        <w:rPr>
          <w:rStyle w:val="Superindice"/>
        </w:rPr>
        <w:t>®</w:t>
      </w:r>
      <w:r>
        <w:t>,</w:t>
      </w:r>
      <w:r w:rsidRPr="00382239">
        <w:t xml:space="preserve"> para el alivio del dolor y la inflamación asociados a la osteoartritis en perros y el alivio del dolor posoperatorio y la inflamación asociados a la cirugía de tejido blando, ortopédica y dental en perros. </w:t>
      </w:r>
    </w:p>
    <w:p w14:paraId="0227DA49" w14:textId="784546F2" w:rsidR="00382239" w:rsidRPr="00737AE4" w:rsidRDefault="00382239" w:rsidP="00382239">
      <w:pPr>
        <w:pStyle w:val="Texto"/>
      </w:pPr>
      <w:r w:rsidRPr="00382239">
        <w:t>Firodyl es firocoxib, un antiinflamatorio no esteroideo (AINE) muy conocido por su buen perfil de eficacia y seguridad</w:t>
      </w:r>
      <w:r>
        <w:t xml:space="preserve"> </w:t>
      </w:r>
      <w:r w:rsidRPr="00737AE4">
        <w:t xml:space="preserve">que actúa por inhibición selectiva </w:t>
      </w:r>
      <w:r w:rsidR="0087648C">
        <w:t xml:space="preserve">de la ciclooxigenasa-2 (COX-2), la </w:t>
      </w:r>
      <w:r w:rsidR="0087648C" w:rsidRPr="0087648C">
        <w:t>enzima responsable de la producción de prostaglandinas</w:t>
      </w:r>
      <w:r w:rsidR="0087648C">
        <w:t>, que tienen</w:t>
      </w:r>
      <w:r w:rsidR="0087648C" w:rsidRPr="0087648C">
        <w:t xml:space="preserve"> papel importante tanto en funciones fisiológicas como en el desarrollo de los procesos inflamatorios y dolorosos.</w:t>
      </w:r>
    </w:p>
    <w:p w14:paraId="19F586ED" w14:textId="0B295E27" w:rsidR="00804261" w:rsidRDefault="00382239" w:rsidP="00804261">
      <w:pPr>
        <w:pStyle w:val="Texto"/>
      </w:pPr>
      <w:r>
        <w:t xml:space="preserve">Cuatro características marcan la diferencia de </w:t>
      </w:r>
      <w:r w:rsidRPr="00737AE4">
        <w:t>Firodyl</w:t>
      </w:r>
      <w:r w:rsidRPr="00804261">
        <w:rPr>
          <w:rStyle w:val="Superindice"/>
        </w:rPr>
        <w:t>®</w:t>
      </w:r>
      <w:r>
        <w:t>. En primer lugar</w:t>
      </w:r>
      <w:r w:rsidR="006A1A37">
        <w:t>,</w:t>
      </w:r>
      <w:r>
        <w:t xml:space="preserve"> su excelente palatabilidad, </w:t>
      </w:r>
      <w:r w:rsidR="00804261">
        <w:t>que permite a los cuidadores una buena adherencia al tratamiento. Además</w:t>
      </w:r>
      <w:r w:rsidR="006A1A37">
        <w:t>,</w:t>
      </w:r>
      <w:r w:rsidR="00804261">
        <w:t xml:space="preserve"> es fácilmente fraccionable gracias a la tecnología Snap-Tables, que divide los comprimidos en cuatro partes iguales solo con la presión de un dedo. Y esa facilidad de fraccionamiento hace que </w:t>
      </w:r>
      <w:r w:rsidRPr="00737AE4">
        <w:t>la dosis administrada siempre est</w:t>
      </w:r>
      <w:r w:rsidR="00804261">
        <w:t xml:space="preserve">é </w:t>
      </w:r>
      <w:r w:rsidRPr="00737AE4">
        <w:t>lo más cerca posible d</w:t>
      </w:r>
      <w:r w:rsidR="00804261">
        <w:t xml:space="preserve">e la dosis recomendada (5mg/kg), lo que maximiza la seguridad. Por último, </w:t>
      </w:r>
      <w:r w:rsidR="006A1A37">
        <w:t>s</w:t>
      </w:r>
      <w:r w:rsidR="00804261" w:rsidRPr="00382239">
        <w:t>e comercializa con las concentraciones de 62.5 mg y 250 mg, que permiten ajustar las dosis y optimizar el coste del tratamiento.</w:t>
      </w:r>
    </w:p>
    <w:sectPr w:rsidR="00804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73CD0"/>
    <w:rsid w:val="000B3762"/>
    <w:rsid w:val="000E0631"/>
    <w:rsid w:val="00160339"/>
    <w:rsid w:val="00160EC7"/>
    <w:rsid w:val="0019215B"/>
    <w:rsid w:val="001C21B7"/>
    <w:rsid w:val="00223B15"/>
    <w:rsid w:val="00223C68"/>
    <w:rsid w:val="00234B19"/>
    <w:rsid w:val="00237FCC"/>
    <w:rsid w:val="00242300"/>
    <w:rsid w:val="002519B4"/>
    <w:rsid w:val="00275BE9"/>
    <w:rsid w:val="002A78CE"/>
    <w:rsid w:val="002B4593"/>
    <w:rsid w:val="00325D8B"/>
    <w:rsid w:val="003356CB"/>
    <w:rsid w:val="0034298C"/>
    <w:rsid w:val="00372E75"/>
    <w:rsid w:val="00382239"/>
    <w:rsid w:val="003A683B"/>
    <w:rsid w:val="003E2987"/>
    <w:rsid w:val="003F5CF1"/>
    <w:rsid w:val="00411D20"/>
    <w:rsid w:val="00442BBF"/>
    <w:rsid w:val="00444145"/>
    <w:rsid w:val="00470093"/>
    <w:rsid w:val="00476C2A"/>
    <w:rsid w:val="00485D3E"/>
    <w:rsid w:val="0055248E"/>
    <w:rsid w:val="005C22E7"/>
    <w:rsid w:val="005D5937"/>
    <w:rsid w:val="005E672B"/>
    <w:rsid w:val="00600D0B"/>
    <w:rsid w:val="006177F5"/>
    <w:rsid w:val="00672F0A"/>
    <w:rsid w:val="006A1A37"/>
    <w:rsid w:val="006A77CA"/>
    <w:rsid w:val="006D6191"/>
    <w:rsid w:val="006F76AA"/>
    <w:rsid w:val="007041B3"/>
    <w:rsid w:val="007068C7"/>
    <w:rsid w:val="00737AE4"/>
    <w:rsid w:val="007A492B"/>
    <w:rsid w:val="007B0DC4"/>
    <w:rsid w:val="007B1700"/>
    <w:rsid w:val="007B2A34"/>
    <w:rsid w:val="007E1C48"/>
    <w:rsid w:val="00804261"/>
    <w:rsid w:val="00867349"/>
    <w:rsid w:val="0087648C"/>
    <w:rsid w:val="00881C5B"/>
    <w:rsid w:val="008852B0"/>
    <w:rsid w:val="008C7D28"/>
    <w:rsid w:val="008E620A"/>
    <w:rsid w:val="008E7101"/>
    <w:rsid w:val="00911234"/>
    <w:rsid w:val="009120F5"/>
    <w:rsid w:val="00966510"/>
    <w:rsid w:val="00976103"/>
    <w:rsid w:val="009916DA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B0692F"/>
    <w:rsid w:val="00B17C4A"/>
    <w:rsid w:val="00B22F3C"/>
    <w:rsid w:val="00B2701C"/>
    <w:rsid w:val="00B418D6"/>
    <w:rsid w:val="00BF6A92"/>
    <w:rsid w:val="00C1164A"/>
    <w:rsid w:val="00C16E61"/>
    <w:rsid w:val="00C30F10"/>
    <w:rsid w:val="00C3451F"/>
    <w:rsid w:val="00C36A58"/>
    <w:rsid w:val="00C55A08"/>
    <w:rsid w:val="00C85C54"/>
    <w:rsid w:val="00C86354"/>
    <w:rsid w:val="00CB0875"/>
    <w:rsid w:val="00D15CE0"/>
    <w:rsid w:val="00D370F5"/>
    <w:rsid w:val="00D449D3"/>
    <w:rsid w:val="00D77B92"/>
    <w:rsid w:val="00DB68CC"/>
    <w:rsid w:val="00DE4704"/>
    <w:rsid w:val="00E36401"/>
    <w:rsid w:val="00E45FA8"/>
    <w:rsid w:val="00E631A9"/>
    <w:rsid w:val="00EA422D"/>
    <w:rsid w:val="00EC2784"/>
    <w:rsid w:val="00ED7398"/>
    <w:rsid w:val="00F04854"/>
    <w:rsid w:val="00F4177F"/>
    <w:rsid w:val="00F83906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5A1C0F35-D3D2-44A8-9E96-53D75A05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37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6A1A37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6A1A37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5</cp:revision>
  <dcterms:created xsi:type="dcterms:W3CDTF">2021-06-08T14:31:00Z</dcterms:created>
  <dcterms:modified xsi:type="dcterms:W3CDTF">2021-06-09T08:28:00Z</dcterms:modified>
</cp:coreProperties>
</file>