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452F" w14:textId="0D211158" w:rsidR="00FB1B38" w:rsidRPr="00720EF2" w:rsidRDefault="00FB1B38" w:rsidP="00DE6888">
      <w:pPr>
        <w:pStyle w:val="002Titular"/>
        <w:spacing w:after="240" w:line="312" w:lineRule="auto"/>
      </w:pPr>
      <w:r w:rsidRPr="00720EF2">
        <w:t xml:space="preserve">Ceva Salud Animal </w:t>
      </w:r>
      <w:r w:rsidR="00C766F2">
        <w:t>continúa con sus conferencias virtuales de</w:t>
      </w:r>
      <w:r w:rsidR="0076102C">
        <w:t xml:space="preserve"> cardiología</w:t>
      </w:r>
      <w:r w:rsidR="00C766F2">
        <w:t xml:space="preserve"> con una charla sobre radiografías de tórax y TAC</w:t>
      </w:r>
    </w:p>
    <w:p w14:paraId="1001558D" w14:textId="016E45CE" w:rsidR="0076102C" w:rsidRPr="0076102C" w:rsidRDefault="00F90688" w:rsidP="00DE6888">
      <w:pPr>
        <w:pStyle w:val="Texto"/>
        <w:spacing w:after="240" w:line="312" w:lineRule="auto"/>
      </w:pPr>
      <w:r>
        <w:t xml:space="preserve">Dentro de su </w:t>
      </w:r>
      <w:r w:rsidR="0076102C" w:rsidRPr="0076102C">
        <w:t>apuesta por apoyar el trabajo de los profesionales veterinarios y aportar una formación continuada y de calidad sobre los temas más demandados por ellos</w:t>
      </w:r>
      <w:r>
        <w:t xml:space="preserve">, </w:t>
      </w:r>
      <w:r w:rsidRPr="0076102C">
        <w:t>Ceva Salud Animal sigue con su</w:t>
      </w:r>
      <w:r>
        <w:t xml:space="preserve"> ciclo de conferencias sobre </w:t>
      </w:r>
      <w:r w:rsidR="0076102C" w:rsidRPr="0076102C">
        <w:t xml:space="preserve">cardiología, </w:t>
      </w:r>
      <w:r>
        <w:t xml:space="preserve">en la que están participando </w:t>
      </w:r>
      <w:r w:rsidR="00962570">
        <w:t>l</w:t>
      </w:r>
      <w:r w:rsidR="0076102C" w:rsidRPr="0076102C">
        <w:t xml:space="preserve">os mejores especialistas veterinarios de sus respectivos campos. </w:t>
      </w:r>
      <w:r>
        <w:t xml:space="preserve">Gracias a su formato, que permite que puedan seguirse </w:t>
      </w:r>
      <w:r w:rsidR="0076102C" w:rsidRPr="0076102C">
        <w:t xml:space="preserve">de manera virtual, </w:t>
      </w:r>
      <w:r>
        <w:t xml:space="preserve">las conferencias </w:t>
      </w:r>
      <w:r w:rsidR="0076102C" w:rsidRPr="0076102C">
        <w:t>se convierten en unos vehículos dinámicos y flexibles que ayuden a los veterinarios a profundizar en temas de interés que posteriormente podrán aplicar en su labor diaria de la clínica.</w:t>
      </w:r>
    </w:p>
    <w:p w14:paraId="082E6821" w14:textId="4854F1AF" w:rsidR="00F90688" w:rsidRDefault="00F90688" w:rsidP="00DE6888">
      <w:pPr>
        <w:pStyle w:val="Texto"/>
        <w:spacing w:after="240" w:line="312" w:lineRule="auto"/>
      </w:pPr>
      <w:r>
        <w:t>Pedro Esteve, responsable del Centro de Referencia de Cardiología, Diagnóstico por Imagen, Intervencionismo y Oncología Diagnosfera, fue el ponente de la segu</w:t>
      </w:r>
      <w:r w:rsidRPr="00C766F2">
        <w:t>nda de estas charlas, que tuvo lugar el 15 de abril, con una conferencia sobre cómo sacar el mejor partido a las radiografías de tórax y TAC.</w:t>
      </w:r>
      <w:r w:rsidR="00DE6888">
        <w:t xml:space="preserve"> La visualización completa de esta charla está disponible en este enlace: </w:t>
      </w:r>
      <w:hyperlink r:id="rId5" w:history="1">
        <w:r w:rsidR="00DE6888" w:rsidRPr="00FD7234">
          <w:rPr>
            <w:rStyle w:val="Hipervnculo"/>
          </w:rPr>
          <w:t>https://www.youtube.com/playlist?list=PLoDcGEC1zwSDCpqyBpzvCOog4E3Sjmimz</w:t>
        </w:r>
      </w:hyperlink>
    </w:p>
    <w:p w14:paraId="30E9167F" w14:textId="63628EDD" w:rsidR="00C766F2" w:rsidRPr="00C766F2" w:rsidRDefault="00C766F2" w:rsidP="00DE6888">
      <w:pPr>
        <w:pStyle w:val="Texto"/>
        <w:spacing w:after="240" w:line="312" w:lineRule="auto"/>
      </w:pPr>
      <w:r w:rsidRPr="00C766F2">
        <w:t>La siguiente sesión de este ciclo de conferencias</w:t>
      </w:r>
      <w:r>
        <w:t>, que se celebra el próximo 26 de mayo,</w:t>
      </w:r>
      <w:r w:rsidRPr="00C766F2">
        <w:t xml:space="preserve"> estará a cargo de Javier Duque</w:t>
      </w:r>
      <w:r>
        <w:t xml:space="preserve"> (D</w:t>
      </w:r>
      <w:r w:rsidR="00F90688" w:rsidRPr="00C766F2">
        <w:t>VM, PhD. Medicina interna.</w:t>
      </w:r>
      <w:r>
        <w:t xml:space="preserve"> </w:t>
      </w:r>
      <w:r w:rsidR="00F90688" w:rsidRPr="00C766F2">
        <w:t>Cardiología. Ecografía en el HCV de la universidad de Extremadura</w:t>
      </w:r>
      <w:r>
        <w:t>), y en ella tratará de f</w:t>
      </w:r>
      <w:r w:rsidR="00F90688" w:rsidRPr="00C766F2">
        <w:t>isiopatología, diagnóstico y clasificación del eje cardio-renal mediante casos clínicos</w:t>
      </w:r>
      <w:r>
        <w:t xml:space="preserve">. El registro está abierto en este enlace: </w:t>
      </w:r>
      <w:hyperlink r:id="rId6" w:history="1">
        <w:r w:rsidRPr="00FF24EB">
          <w:rPr>
            <w:rStyle w:val="Hipervnculo"/>
          </w:rPr>
          <w:t>https://primetime.bluejeans.com/a2m/register/vwhehkte</w:t>
        </w:r>
      </w:hyperlink>
    </w:p>
    <w:sectPr w:rsidR="00C766F2" w:rsidRPr="00C7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60EC7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45A8D"/>
    <w:rsid w:val="00372E75"/>
    <w:rsid w:val="003A683B"/>
    <w:rsid w:val="003F5CF1"/>
    <w:rsid w:val="00411D20"/>
    <w:rsid w:val="00442BBF"/>
    <w:rsid w:val="00444145"/>
    <w:rsid w:val="00470093"/>
    <w:rsid w:val="00485D3E"/>
    <w:rsid w:val="0055248E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6102C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62570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B17C4A"/>
    <w:rsid w:val="00B22F3C"/>
    <w:rsid w:val="00B418D6"/>
    <w:rsid w:val="00BF6A92"/>
    <w:rsid w:val="00C16E61"/>
    <w:rsid w:val="00C30F10"/>
    <w:rsid w:val="00C55A08"/>
    <w:rsid w:val="00C766F2"/>
    <w:rsid w:val="00C85C54"/>
    <w:rsid w:val="00C86354"/>
    <w:rsid w:val="00CB0875"/>
    <w:rsid w:val="00D370F5"/>
    <w:rsid w:val="00D77B92"/>
    <w:rsid w:val="00DB68CC"/>
    <w:rsid w:val="00DE4704"/>
    <w:rsid w:val="00DE6888"/>
    <w:rsid w:val="00E36401"/>
    <w:rsid w:val="00E45FA8"/>
    <w:rsid w:val="00E631A9"/>
    <w:rsid w:val="00EA422D"/>
    <w:rsid w:val="00EC2784"/>
    <w:rsid w:val="00ED7398"/>
    <w:rsid w:val="00F04854"/>
    <w:rsid w:val="00F90688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5EA9BAC7-4DAD-459C-B5AA-4B33D73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88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DE688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E6888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068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E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etime.bluejeans.com/a2m/register/vwhehkte" TargetMode="External"/><Relationship Id="rId5" Type="http://schemas.openxmlformats.org/officeDocument/2006/relationships/hyperlink" Target="https://www.youtube.com/playlist?list=PLoDcGEC1zwSDCpqyBpzvCOog4E3Sjmi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3</cp:revision>
  <dcterms:created xsi:type="dcterms:W3CDTF">2021-05-05T14:29:00Z</dcterms:created>
  <dcterms:modified xsi:type="dcterms:W3CDTF">2021-05-11T11:44:00Z</dcterms:modified>
</cp:coreProperties>
</file>